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9B388E" w14:textId="77777777" w:rsidR="00880B16" w:rsidRDefault="00880B16" w:rsidP="009E0F2A">
      <w:pPr>
        <w:pStyle w:val="Heading1"/>
      </w:pPr>
      <w:bookmarkStart w:id="0" w:name="_GoBack"/>
      <w:bookmarkEnd w:id="0"/>
      <w:r>
        <w:t>2018 EE Potential and Goals Study</w:t>
      </w:r>
    </w:p>
    <w:p w14:paraId="66D550E3" w14:textId="77777777" w:rsidR="009913EB" w:rsidRDefault="009913EB" w:rsidP="009913EB">
      <w:pPr>
        <w:pStyle w:val="Heading2"/>
      </w:pPr>
      <w:r>
        <w:t>SCE Comments - December 12, 2016 Calibration and Scenario Workshop</w:t>
      </w:r>
    </w:p>
    <w:p w14:paraId="5C9B959B" w14:textId="77777777" w:rsidR="009E0F2A" w:rsidRDefault="009E0F2A" w:rsidP="009E0F2A">
      <w:pPr>
        <w:pStyle w:val="Heading1"/>
      </w:pPr>
      <w:r>
        <w:t>Introduction</w:t>
      </w:r>
    </w:p>
    <w:p w14:paraId="57C74508" w14:textId="77777777" w:rsidR="00120B4C" w:rsidRPr="000C6AC3" w:rsidRDefault="000C6AC3" w:rsidP="004A27B1">
      <w:pPr>
        <w:autoSpaceDE w:val="0"/>
        <w:autoSpaceDN w:val="0"/>
        <w:adjustRightInd w:val="0"/>
        <w:spacing w:before="3" w:after="0" w:line="240" w:lineRule="auto"/>
      </w:pPr>
      <w:r w:rsidRPr="000C6AC3">
        <w:t>EE potential studies have been commonly used by the California Public Utilities Commission (CPUC) to set EE program goal for decades.  Navigant Consulting Inc. (NCI) has been s</w:t>
      </w:r>
      <w:r w:rsidR="00120B4C" w:rsidRPr="00120B4C">
        <w:t xml:space="preserve">upporting the CPUC </w:t>
      </w:r>
      <w:r w:rsidRPr="000C6AC3">
        <w:t xml:space="preserve">in the goal setting process </w:t>
      </w:r>
      <w:r w:rsidR="00120B4C" w:rsidRPr="00120B4C">
        <w:t>since 2011</w:t>
      </w:r>
      <w:r w:rsidR="00897736">
        <w:t xml:space="preserve">, and </w:t>
      </w:r>
      <w:r w:rsidR="00120B4C" w:rsidRPr="00120B4C">
        <w:t>forecasting energy efficiency (EE) potential using the California Potential and Goals Model (PG Model</w:t>
      </w:r>
      <w:r w:rsidR="00BE2C73">
        <w:t xml:space="preserve"> or PG Study</w:t>
      </w:r>
      <w:r w:rsidR="00120B4C" w:rsidRPr="00120B4C">
        <w:t xml:space="preserve">). </w:t>
      </w:r>
      <w:r w:rsidR="00897736">
        <w:t xml:space="preserve">The main output </w:t>
      </w:r>
      <w:r w:rsidR="004A27B1">
        <w:t xml:space="preserve">used by the CPUC to promulgate EE program goals is the mid-case achievable potential scenario.   The mid case achievable potential scenario represents </w:t>
      </w:r>
      <w:r w:rsidR="00CF5570">
        <w:t xml:space="preserve">the remaining cost-effective energy efficiency </w:t>
      </w:r>
      <w:r w:rsidR="004A27B1">
        <w:t xml:space="preserve">that </w:t>
      </w:r>
      <w:r w:rsidR="00CF5570">
        <w:t>re</w:t>
      </w:r>
      <w:r w:rsidR="007A5552">
        <w:t>mains</w:t>
      </w:r>
      <w:r w:rsidR="00CF5570">
        <w:t xml:space="preserve"> in </w:t>
      </w:r>
      <w:r w:rsidR="007A5552">
        <w:t xml:space="preserve">California </w:t>
      </w:r>
      <w:r w:rsidR="004A27B1">
        <w:t xml:space="preserve">accounting for </w:t>
      </w:r>
      <w:r w:rsidR="007A5552">
        <w:t>program limitations, and c</w:t>
      </w:r>
      <w:r w:rsidR="004A27B1">
        <w:t xml:space="preserve">ustomer </w:t>
      </w:r>
      <w:r w:rsidR="007A5552">
        <w:t>b</w:t>
      </w:r>
      <w:r w:rsidR="004A27B1">
        <w:t>arriers to adoption</w:t>
      </w:r>
      <w:r w:rsidR="00CF5570">
        <w:t>.</w:t>
      </w:r>
    </w:p>
    <w:p w14:paraId="12B02910" w14:textId="77777777" w:rsidR="00120B4C" w:rsidRPr="00120B4C" w:rsidRDefault="00120B4C" w:rsidP="000C6AC3">
      <w:pPr>
        <w:autoSpaceDE w:val="0"/>
        <w:autoSpaceDN w:val="0"/>
        <w:adjustRightInd w:val="0"/>
        <w:spacing w:before="3" w:after="0" w:line="240" w:lineRule="auto"/>
      </w:pPr>
    </w:p>
    <w:p w14:paraId="0B240689" w14:textId="77777777" w:rsidR="00F91623" w:rsidRDefault="000C6AC3" w:rsidP="00F91623">
      <w:pPr>
        <w:autoSpaceDE w:val="0"/>
        <w:autoSpaceDN w:val="0"/>
        <w:adjustRightInd w:val="0"/>
        <w:spacing w:before="3" w:after="0" w:line="240" w:lineRule="auto"/>
      </w:pPr>
      <w:r>
        <w:t>It is SCE’s understanding that t</w:t>
      </w:r>
      <w:r w:rsidR="00120B4C" w:rsidRPr="00120B4C">
        <w:t>he 2018 PG study will build upon the 2015 PG study</w:t>
      </w:r>
      <w:r w:rsidRPr="000C6AC3">
        <w:t xml:space="preserve">, and will be used to </w:t>
      </w:r>
      <w:r w:rsidR="00120B4C" w:rsidRPr="000C6AC3">
        <w:t xml:space="preserve">Inform </w:t>
      </w:r>
      <w:r w:rsidR="00120B4C" w:rsidRPr="00120B4C">
        <w:t xml:space="preserve">2018 and Beyond </w:t>
      </w:r>
      <w:r w:rsidRPr="000C6AC3">
        <w:t>EE program goals</w:t>
      </w:r>
      <w:r w:rsidR="00F91623">
        <w:rPr>
          <w:rStyle w:val="FootnoteReference"/>
        </w:rPr>
        <w:footnoteReference w:id="1"/>
      </w:r>
      <w:r w:rsidRPr="000C6AC3">
        <w:t xml:space="preserve">.  </w:t>
      </w:r>
      <w:r w:rsidR="004E243D">
        <w:t xml:space="preserve">The </w:t>
      </w:r>
      <w:r w:rsidR="004A27B1">
        <w:t xml:space="preserve">result will </w:t>
      </w:r>
      <w:r w:rsidR="004E243D">
        <w:t xml:space="preserve">provide a yardstick on which EE program success or failure </w:t>
      </w:r>
      <w:r w:rsidR="004A27B1">
        <w:t>will</w:t>
      </w:r>
      <w:r w:rsidR="004E243D">
        <w:t xml:space="preserve"> be measured.  </w:t>
      </w:r>
    </w:p>
    <w:p w14:paraId="001B6055" w14:textId="77777777" w:rsidR="00F91623" w:rsidRDefault="00F91623" w:rsidP="00F91623">
      <w:pPr>
        <w:autoSpaceDE w:val="0"/>
        <w:autoSpaceDN w:val="0"/>
        <w:adjustRightInd w:val="0"/>
        <w:spacing w:before="3" w:after="0" w:line="240" w:lineRule="auto"/>
      </w:pPr>
    </w:p>
    <w:p w14:paraId="354B56F3" w14:textId="6DEC8E1E" w:rsidR="007A5552" w:rsidRDefault="00E95F7A" w:rsidP="00E95F7A">
      <w:pPr>
        <w:autoSpaceDE w:val="0"/>
        <w:autoSpaceDN w:val="0"/>
        <w:adjustRightInd w:val="0"/>
        <w:spacing w:before="3" w:after="0" w:line="240" w:lineRule="auto"/>
      </w:pPr>
      <w:r>
        <w:t xml:space="preserve">With the emergence of </w:t>
      </w:r>
      <w:r w:rsidR="0036143C">
        <w:t xml:space="preserve">Senate Bill (SB) </w:t>
      </w:r>
      <w:r>
        <w:t xml:space="preserve">350, </w:t>
      </w:r>
      <w:r w:rsidR="0036143C">
        <w:t>and Assembly Bills (</w:t>
      </w:r>
      <w:r>
        <w:t>AB</w:t>
      </w:r>
      <w:r w:rsidR="0036143C">
        <w:t xml:space="preserve">) </w:t>
      </w:r>
      <w:r>
        <w:t>802, 793 and 758, EE programs</w:t>
      </w:r>
      <w:r w:rsidR="0036143C">
        <w:t xml:space="preserve"> have been thrust into a rapidly changing environment.  </w:t>
      </w:r>
      <w:r w:rsidR="007A5552">
        <w:t>Many of these programs are being retooled or will be newly introduce energy savings measures into the marketplace.  For example, EE p</w:t>
      </w:r>
      <w:r w:rsidR="0036143C">
        <w:t>rograms have been t</w:t>
      </w:r>
      <w:r>
        <w:t>asked with doubling the efficiency</w:t>
      </w:r>
      <w:r w:rsidR="00A01BAF">
        <w:t>, renewed focus on</w:t>
      </w:r>
      <w:r>
        <w:t xml:space="preserve"> existing buildings, capturing below code savings, reintroducing the retro</w:t>
      </w:r>
      <w:r w:rsidR="00A01BAF">
        <w:t>-</w:t>
      </w:r>
      <w:r>
        <w:t xml:space="preserve">commissioning programs, increasing savings from behavior programs, </w:t>
      </w:r>
      <w:r w:rsidR="007A5552">
        <w:t>introducing</w:t>
      </w:r>
      <w:r>
        <w:t xml:space="preserve"> operational efficiency programs</w:t>
      </w:r>
      <w:r w:rsidR="00A01BAF">
        <w:t xml:space="preserve"> and encouraging a pay-for performance structure</w:t>
      </w:r>
      <w:r>
        <w:t xml:space="preserve">.  </w:t>
      </w:r>
    </w:p>
    <w:p w14:paraId="2653795A" w14:textId="77777777" w:rsidR="007A5552" w:rsidRDefault="007A5552" w:rsidP="00E95F7A">
      <w:pPr>
        <w:autoSpaceDE w:val="0"/>
        <w:autoSpaceDN w:val="0"/>
        <w:adjustRightInd w:val="0"/>
        <w:spacing w:before="3" w:after="0" w:line="240" w:lineRule="auto"/>
      </w:pPr>
    </w:p>
    <w:p w14:paraId="6B634816" w14:textId="77777777" w:rsidR="002E5A8B" w:rsidRDefault="007A5552" w:rsidP="00E95F7A">
      <w:pPr>
        <w:autoSpaceDE w:val="0"/>
        <w:autoSpaceDN w:val="0"/>
        <w:adjustRightInd w:val="0"/>
        <w:spacing w:before="3" w:after="0" w:line="240" w:lineRule="auto"/>
      </w:pPr>
      <w:r>
        <w:t>T</w:t>
      </w:r>
      <w:r w:rsidR="00E95F7A">
        <w:t xml:space="preserve">hese programs coupled with Emerging Technologies have little historical information </w:t>
      </w:r>
      <w:r w:rsidR="009215DF">
        <w:t xml:space="preserve">available which </w:t>
      </w:r>
      <w:r w:rsidR="00E95F7A">
        <w:t>increases the uncertainty inherent in the EE potential forecast.</w:t>
      </w:r>
      <w:r w:rsidR="00165B58">
        <w:t xml:space="preserve"> Many aspects of the </w:t>
      </w:r>
      <w:r w:rsidR="00C1635A">
        <w:t xml:space="preserve">operationalization of </w:t>
      </w:r>
      <w:r w:rsidR="00165B58">
        <w:t xml:space="preserve">aforementioned Bills are in process, and much remains to be </w:t>
      </w:r>
      <w:r>
        <w:t xml:space="preserve">defined and </w:t>
      </w:r>
      <w:r w:rsidR="00165B58">
        <w:t>constructed.  T</w:t>
      </w:r>
      <w:r w:rsidR="007550F5">
        <w:t>he lack</w:t>
      </w:r>
      <w:r w:rsidR="00C1635A">
        <w:t xml:space="preserve"> </w:t>
      </w:r>
      <w:r>
        <w:t xml:space="preserve">concrete program information requires forecasters to make additional assumptions that will significantly increase </w:t>
      </w:r>
      <w:r w:rsidR="007550F5">
        <w:t xml:space="preserve">forecast uncertainty.  </w:t>
      </w:r>
      <w:r w:rsidR="00F649DC">
        <w:t xml:space="preserve">Addressing the </w:t>
      </w:r>
      <w:r>
        <w:t xml:space="preserve">uncertainty </w:t>
      </w:r>
      <w:r w:rsidR="00F649DC">
        <w:t>impacts o</w:t>
      </w:r>
      <w:r>
        <w:t>n the program ability to capture savings</w:t>
      </w:r>
      <w:r w:rsidR="00F649DC">
        <w:t xml:space="preserve"> will help assure the EE program goals are reliable, feasible and cost-effective</w:t>
      </w:r>
      <w:r w:rsidR="00F649DC">
        <w:rPr>
          <w:rStyle w:val="FootnoteReference"/>
        </w:rPr>
        <w:footnoteReference w:id="2"/>
      </w:r>
      <w:r w:rsidR="00F649DC">
        <w:t>.  SCE proposes alternative means of addressing forecast uncertainty in the Scenario section below.</w:t>
      </w:r>
      <w:r w:rsidR="009215DF">
        <w:t xml:space="preserve"> </w:t>
      </w:r>
    </w:p>
    <w:p w14:paraId="5AD15E64" w14:textId="77777777" w:rsidR="002E5A8B" w:rsidRDefault="002E5A8B" w:rsidP="00E95F7A">
      <w:pPr>
        <w:autoSpaceDE w:val="0"/>
        <w:autoSpaceDN w:val="0"/>
        <w:adjustRightInd w:val="0"/>
        <w:spacing w:before="3" w:after="0" w:line="240" w:lineRule="auto"/>
      </w:pPr>
    </w:p>
    <w:p w14:paraId="2D1EF979" w14:textId="2714F8DB" w:rsidR="009215DF" w:rsidRPr="00616054" w:rsidRDefault="009215DF" w:rsidP="009215DF">
      <w:pPr>
        <w:rPr>
          <w:color w:val="FF0000"/>
        </w:rPr>
      </w:pPr>
      <w:r>
        <w:t xml:space="preserve">SCE offers feedback in </w:t>
      </w:r>
      <w:r w:rsidR="00972806">
        <w:t>5</w:t>
      </w:r>
      <w:r>
        <w:t xml:space="preserve"> areas:</w:t>
      </w:r>
    </w:p>
    <w:p w14:paraId="185553F4" w14:textId="77777777" w:rsidR="007534CE" w:rsidRDefault="007534CE" w:rsidP="009215DF">
      <w:pPr>
        <w:pStyle w:val="ListParagraph"/>
        <w:numPr>
          <w:ilvl w:val="0"/>
          <w:numId w:val="6"/>
        </w:numPr>
      </w:pPr>
      <w:r>
        <w:t>Background</w:t>
      </w:r>
    </w:p>
    <w:p w14:paraId="1C826593" w14:textId="77777777" w:rsidR="009215DF" w:rsidRDefault="009215DF" w:rsidP="009215DF">
      <w:pPr>
        <w:pStyle w:val="ListParagraph"/>
        <w:numPr>
          <w:ilvl w:val="0"/>
          <w:numId w:val="6"/>
        </w:numPr>
      </w:pPr>
      <w:r>
        <w:t>Calibration</w:t>
      </w:r>
    </w:p>
    <w:p w14:paraId="517F7924" w14:textId="77777777" w:rsidR="009215DF" w:rsidRDefault="00D9325C" w:rsidP="009215DF">
      <w:pPr>
        <w:pStyle w:val="ListParagraph"/>
        <w:numPr>
          <w:ilvl w:val="0"/>
          <w:numId w:val="6"/>
        </w:numPr>
      </w:pPr>
      <w:r>
        <w:t>Scenarios</w:t>
      </w:r>
    </w:p>
    <w:p w14:paraId="22573186" w14:textId="77777777" w:rsidR="009215DF" w:rsidRDefault="009215DF" w:rsidP="009215DF">
      <w:pPr>
        <w:pStyle w:val="ListParagraph"/>
        <w:numPr>
          <w:ilvl w:val="0"/>
          <w:numId w:val="6"/>
        </w:numPr>
      </w:pPr>
      <w:r>
        <w:t>Cost-</w:t>
      </w:r>
      <w:r w:rsidR="00D9325C">
        <w:t>Effectiveness</w:t>
      </w:r>
    </w:p>
    <w:p w14:paraId="0613942F" w14:textId="77777777" w:rsidR="004E243D" w:rsidRPr="004E2F91" w:rsidRDefault="002E5A8B" w:rsidP="00D9325C">
      <w:pPr>
        <w:pStyle w:val="ListParagraph"/>
        <w:numPr>
          <w:ilvl w:val="0"/>
          <w:numId w:val="6"/>
        </w:numPr>
      </w:pPr>
      <w:r>
        <w:t>Conclusions</w:t>
      </w:r>
    </w:p>
    <w:p w14:paraId="382892E3" w14:textId="77777777" w:rsidR="007534CE" w:rsidRDefault="007534CE" w:rsidP="007534CE">
      <w:pPr>
        <w:pStyle w:val="Heading1"/>
        <w:numPr>
          <w:ilvl w:val="0"/>
          <w:numId w:val="36"/>
        </w:numPr>
      </w:pPr>
      <w:r>
        <w:lastRenderedPageBreak/>
        <w:t>Background</w:t>
      </w:r>
    </w:p>
    <w:p w14:paraId="0797D0B5" w14:textId="77777777" w:rsidR="007534CE" w:rsidRDefault="007534CE" w:rsidP="007534CE">
      <w:pPr>
        <w:pStyle w:val="Heading4"/>
      </w:pPr>
      <w:r>
        <w:t>2015 PG Model Calibration</w:t>
      </w:r>
    </w:p>
    <w:p w14:paraId="662E52BE" w14:textId="77777777" w:rsidR="007534CE" w:rsidRDefault="007534CE" w:rsidP="007534CE">
      <w:pPr>
        <w:autoSpaceDE w:val="0"/>
        <w:autoSpaceDN w:val="0"/>
        <w:adjustRightInd w:val="0"/>
        <w:spacing w:before="7" w:after="0" w:line="240" w:lineRule="auto"/>
      </w:pPr>
      <w:r>
        <w:t xml:space="preserve">In a May 1, 2015 Memorandum from NCI to Aaron Lu (CPUC ED), NCI discussed PG model calibration. In part, NCI stated: </w:t>
      </w:r>
    </w:p>
    <w:p w14:paraId="1A293C8F" w14:textId="77777777" w:rsidR="007534CE" w:rsidRDefault="007534CE" w:rsidP="007534CE">
      <w:pPr>
        <w:pStyle w:val="ListParagraph"/>
        <w:numPr>
          <w:ilvl w:val="0"/>
          <w:numId w:val="15"/>
        </w:numPr>
        <w:autoSpaceDE w:val="0"/>
        <w:autoSpaceDN w:val="0"/>
        <w:adjustRightInd w:val="0"/>
        <w:spacing w:after="0" w:line="240" w:lineRule="auto"/>
      </w:pPr>
      <w:r w:rsidRPr="00650238">
        <w:t>Calibration provides both the forecaster and stakeholders with a degree of confidence that simulated</w:t>
      </w:r>
      <w:r>
        <w:t xml:space="preserve"> </w:t>
      </w:r>
      <w:r w:rsidRPr="00650238">
        <w:t>results are reasonable and reliable. Calibration is intended to achieve three main purposes</w:t>
      </w:r>
    </w:p>
    <w:p w14:paraId="3B050541" w14:textId="77777777" w:rsidR="007534CE" w:rsidRPr="00650238" w:rsidRDefault="007534CE" w:rsidP="007534CE">
      <w:pPr>
        <w:pStyle w:val="ListParagraph"/>
        <w:numPr>
          <w:ilvl w:val="0"/>
          <w:numId w:val="14"/>
        </w:numPr>
        <w:autoSpaceDE w:val="0"/>
        <w:autoSpaceDN w:val="0"/>
        <w:adjustRightInd w:val="0"/>
        <w:spacing w:after="0" w:line="240" w:lineRule="auto"/>
      </w:pPr>
      <w:r w:rsidRPr="00650238">
        <w:t>Ground the model in actual market conditions and ensure the model reproduces historic program achievements</w:t>
      </w:r>
    </w:p>
    <w:p w14:paraId="4AA75725" w14:textId="77777777" w:rsidR="007534CE" w:rsidRDefault="007534CE" w:rsidP="007534CE">
      <w:pPr>
        <w:pStyle w:val="ListParagraph"/>
        <w:numPr>
          <w:ilvl w:val="0"/>
          <w:numId w:val="14"/>
        </w:numPr>
        <w:autoSpaceDE w:val="0"/>
        <w:autoSpaceDN w:val="0"/>
        <w:adjustRightInd w:val="0"/>
        <w:spacing w:after="0" w:line="240" w:lineRule="auto"/>
      </w:pPr>
      <w:r w:rsidRPr="00650238">
        <w:t>Ensure a realistic starting point from which future projects are made</w:t>
      </w:r>
    </w:p>
    <w:p w14:paraId="10C6F9B1" w14:textId="77777777" w:rsidR="007534CE" w:rsidRDefault="007534CE" w:rsidP="007534CE">
      <w:pPr>
        <w:pStyle w:val="ListParagraph"/>
        <w:numPr>
          <w:ilvl w:val="0"/>
          <w:numId w:val="14"/>
        </w:numPr>
        <w:autoSpaceDE w:val="0"/>
        <w:autoSpaceDN w:val="0"/>
        <w:adjustRightInd w:val="0"/>
        <w:spacing w:after="0" w:line="240" w:lineRule="auto"/>
      </w:pPr>
      <w:r w:rsidRPr="00650238">
        <w:t>Account for varying levels of market barriers across different types of technologies and end uses</w:t>
      </w:r>
    </w:p>
    <w:p w14:paraId="3C65A736" w14:textId="77777777" w:rsidR="007534CE" w:rsidRDefault="007534CE" w:rsidP="007534CE">
      <w:pPr>
        <w:pStyle w:val="ListParagraph"/>
        <w:numPr>
          <w:ilvl w:val="0"/>
          <w:numId w:val="15"/>
        </w:numPr>
        <w:autoSpaceDE w:val="0"/>
        <w:autoSpaceDN w:val="0"/>
        <w:adjustRightInd w:val="0"/>
        <w:spacing w:after="0" w:line="240" w:lineRule="auto"/>
      </w:pPr>
      <w:r>
        <w:t>C</w:t>
      </w:r>
      <w:r w:rsidRPr="00FC018B">
        <w:t>alibration provides a more accurate estimate of the current state of customer willingness, market barriers, program characteristics and remaining adoption potential</w:t>
      </w:r>
    </w:p>
    <w:p w14:paraId="22CC8707" w14:textId="77777777" w:rsidR="007534CE" w:rsidRDefault="007534CE" w:rsidP="007534CE">
      <w:pPr>
        <w:pStyle w:val="Heading4"/>
      </w:pPr>
      <w:r>
        <w:t>Goal Setting Purpose</w:t>
      </w:r>
    </w:p>
    <w:p w14:paraId="1B64EB2A" w14:textId="77777777" w:rsidR="007534CE" w:rsidRDefault="007534CE" w:rsidP="007534CE">
      <w:pPr>
        <w:autoSpaceDE w:val="0"/>
        <w:autoSpaceDN w:val="0"/>
        <w:adjustRightInd w:val="0"/>
        <w:spacing w:before="7" w:after="0" w:line="240" w:lineRule="auto"/>
      </w:pPr>
      <w:r>
        <w:t xml:space="preserve">In 2015 the EE PG study was specifically built to supply a set of cost-effective energy and demand goals (GWh and MW) for each IOU’s service territory.  Once approved by the CPUC, the IOU’s team of EE experts builds a very detailed (climate zone, sector, segment, end-use, and measure level, etc.) cost-effective portfolio designed to meet or exceeded the promulgated goal. </w:t>
      </w:r>
    </w:p>
    <w:p w14:paraId="099E7903" w14:textId="77777777" w:rsidR="007534CE" w:rsidRDefault="007534CE" w:rsidP="007534CE">
      <w:pPr>
        <w:autoSpaceDE w:val="0"/>
        <w:autoSpaceDN w:val="0"/>
        <w:adjustRightInd w:val="0"/>
        <w:spacing w:before="7" w:after="0" w:line="240" w:lineRule="auto"/>
        <w:rPr>
          <w:rFonts w:cs="Arial"/>
          <w:color w:val="535557"/>
          <w:sz w:val="24"/>
          <w:szCs w:val="24"/>
        </w:rPr>
      </w:pPr>
    </w:p>
    <w:p w14:paraId="1F9517E5" w14:textId="77777777" w:rsidR="001F2B63" w:rsidRDefault="001F2B63" w:rsidP="001F2B63">
      <w:pPr>
        <w:pStyle w:val="Heading4"/>
      </w:pPr>
      <w:r>
        <w:t>Public Policy Background</w:t>
      </w:r>
    </w:p>
    <w:p w14:paraId="35C281AF" w14:textId="77777777" w:rsidR="001F2B63" w:rsidRPr="00720424" w:rsidRDefault="001F2B63" w:rsidP="001F2B63">
      <w:r>
        <w:t>Below please find a list of Codes, Action Plans, Senate/Assembly bill and CPUC Decision requirements (I am sure there are more) that PA program are required to address.  These requirements should be addressed or at least considered while forming EE PG methodology deployment.</w:t>
      </w:r>
    </w:p>
    <w:p w14:paraId="01F5FA15" w14:textId="77777777" w:rsidR="001F2B63" w:rsidRPr="00720424" w:rsidRDefault="001F2B63" w:rsidP="001F2B63">
      <w:pPr>
        <w:pStyle w:val="ListParagraph"/>
        <w:numPr>
          <w:ilvl w:val="0"/>
          <w:numId w:val="9"/>
        </w:numPr>
        <w:autoSpaceDE w:val="0"/>
        <w:autoSpaceDN w:val="0"/>
        <w:adjustRightInd w:val="0"/>
        <w:spacing w:before="3" w:after="0" w:line="240" w:lineRule="auto"/>
        <w:rPr>
          <w:rFonts w:cs="Arial"/>
          <w:color w:val="000000"/>
        </w:rPr>
      </w:pPr>
      <w:r w:rsidRPr="00720424">
        <w:rPr>
          <w:rFonts w:cs="Arial"/>
          <w:color w:val="000000"/>
        </w:rPr>
        <w:t>Public Utilities Code, 454.5(b)(9)(C), simple states:</w:t>
      </w:r>
    </w:p>
    <w:p w14:paraId="5487B37F" w14:textId="77777777" w:rsidR="001F2B63" w:rsidRPr="00720424" w:rsidRDefault="001F2B63" w:rsidP="001F2B63">
      <w:pPr>
        <w:pStyle w:val="ListParagraph"/>
        <w:numPr>
          <w:ilvl w:val="1"/>
          <w:numId w:val="9"/>
        </w:numPr>
        <w:autoSpaceDE w:val="0"/>
        <w:autoSpaceDN w:val="0"/>
        <w:adjustRightInd w:val="0"/>
        <w:spacing w:before="3" w:after="0" w:line="240" w:lineRule="auto"/>
        <w:rPr>
          <w:rFonts w:cs="Arial"/>
          <w:color w:val="000000"/>
        </w:rPr>
      </w:pPr>
      <w:r w:rsidRPr="00720424">
        <w:t>“The electrical corporation shall first meet its unmet resource needs through all available energy efficiency and demand reduction resources that are cost effective, reliable, and feasible”</w:t>
      </w:r>
    </w:p>
    <w:p w14:paraId="74FDEDFF" w14:textId="77777777" w:rsidR="001F2B63" w:rsidRPr="00720424" w:rsidRDefault="001F2B63" w:rsidP="001F2B63">
      <w:pPr>
        <w:pStyle w:val="ListParagraph"/>
        <w:numPr>
          <w:ilvl w:val="2"/>
          <w:numId w:val="9"/>
        </w:numPr>
        <w:autoSpaceDE w:val="0"/>
        <w:autoSpaceDN w:val="0"/>
        <w:adjustRightInd w:val="0"/>
        <w:spacing w:before="3" w:after="0" w:line="240" w:lineRule="auto"/>
        <w:rPr>
          <w:rFonts w:cs="Arial"/>
          <w:color w:val="000000"/>
        </w:rPr>
      </w:pPr>
      <w:r w:rsidRPr="00720424">
        <w:t>Does not define what cost effeteness means nor how it should be calculated</w:t>
      </w:r>
    </w:p>
    <w:p w14:paraId="4CA03ED4" w14:textId="77777777" w:rsidR="001F2B63" w:rsidRPr="00720424" w:rsidRDefault="001F2B63" w:rsidP="001F2B63">
      <w:pPr>
        <w:pStyle w:val="ListParagraph"/>
        <w:numPr>
          <w:ilvl w:val="0"/>
          <w:numId w:val="9"/>
        </w:numPr>
        <w:autoSpaceDE w:val="0"/>
        <w:autoSpaceDN w:val="0"/>
        <w:adjustRightInd w:val="0"/>
        <w:spacing w:before="3" w:after="0" w:line="240" w:lineRule="auto"/>
        <w:rPr>
          <w:rFonts w:cs="Arial"/>
          <w:color w:val="000000"/>
        </w:rPr>
      </w:pPr>
      <w:r w:rsidRPr="00720424">
        <w:rPr>
          <w:rFonts w:cs="Arial"/>
          <w:color w:val="000000"/>
        </w:rPr>
        <w:t>Loading Order Adopted in California’s Energy Action Plan</w:t>
      </w:r>
      <w:r w:rsidRPr="00720424">
        <w:rPr>
          <w:rStyle w:val="FootnoteReference"/>
          <w:rFonts w:cs="Arial"/>
          <w:color w:val="000000"/>
        </w:rPr>
        <w:footnoteReference w:id="3"/>
      </w:r>
    </w:p>
    <w:p w14:paraId="3A973A23" w14:textId="77777777" w:rsidR="001F2B63" w:rsidRPr="00720424" w:rsidRDefault="001F2B63" w:rsidP="001F2B63">
      <w:pPr>
        <w:pStyle w:val="ListParagraph"/>
        <w:numPr>
          <w:ilvl w:val="1"/>
          <w:numId w:val="9"/>
        </w:numPr>
        <w:autoSpaceDE w:val="0"/>
        <w:autoSpaceDN w:val="0"/>
        <w:adjustRightInd w:val="0"/>
        <w:spacing w:before="3" w:after="0" w:line="240" w:lineRule="auto"/>
        <w:rPr>
          <w:rFonts w:cs="Arial"/>
          <w:color w:val="000000"/>
        </w:rPr>
      </w:pPr>
      <w:r w:rsidRPr="00720424">
        <w:rPr>
          <w:rFonts w:cs="Arial"/>
          <w:color w:val="000000"/>
        </w:rPr>
        <w:t>Establishes a Loading Order” that details that the state will meet its energy needs by investing in:</w:t>
      </w:r>
    </w:p>
    <w:p w14:paraId="569E1280" w14:textId="77777777" w:rsidR="001F2B63" w:rsidRPr="00720424" w:rsidRDefault="001F2B63" w:rsidP="001F2B63">
      <w:pPr>
        <w:pStyle w:val="ListParagraph"/>
        <w:numPr>
          <w:ilvl w:val="2"/>
          <w:numId w:val="9"/>
        </w:numPr>
        <w:autoSpaceDE w:val="0"/>
        <w:autoSpaceDN w:val="0"/>
        <w:adjustRightInd w:val="0"/>
        <w:spacing w:before="3" w:after="0" w:line="240" w:lineRule="auto"/>
        <w:rPr>
          <w:rFonts w:cs="Arial"/>
          <w:color w:val="000000"/>
        </w:rPr>
      </w:pPr>
      <w:r w:rsidRPr="00720424">
        <w:rPr>
          <w:rFonts w:cs="Arial"/>
          <w:color w:val="000000"/>
        </w:rPr>
        <w:t>Energy Efficiency and Demand-Side Resources,</w:t>
      </w:r>
    </w:p>
    <w:p w14:paraId="0938A4C6" w14:textId="77777777" w:rsidR="001F2B63" w:rsidRPr="00720424" w:rsidRDefault="001F2B63" w:rsidP="001F2B63">
      <w:pPr>
        <w:pStyle w:val="ListParagraph"/>
        <w:numPr>
          <w:ilvl w:val="2"/>
          <w:numId w:val="9"/>
        </w:numPr>
        <w:autoSpaceDE w:val="0"/>
        <w:autoSpaceDN w:val="0"/>
        <w:adjustRightInd w:val="0"/>
        <w:spacing w:before="3" w:after="0" w:line="240" w:lineRule="auto"/>
        <w:rPr>
          <w:rFonts w:cs="Arial"/>
          <w:color w:val="000000"/>
        </w:rPr>
      </w:pPr>
      <w:r w:rsidRPr="00720424">
        <w:rPr>
          <w:rFonts w:cs="Arial"/>
          <w:color w:val="000000"/>
        </w:rPr>
        <w:t>Renewable Resources</w:t>
      </w:r>
    </w:p>
    <w:p w14:paraId="5D160576" w14:textId="77777777" w:rsidR="001F2B63" w:rsidRPr="00720424" w:rsidRDefault="001F2B63" w:rsidP="001F2B63">
      <w:pPr>
        <w:pStyle w:val="ListParagraph"/>
        <w:numPr>
          <w:ilvl w:val="2"/>
          <w:numId w:val="9"/>
        </w:numPr>
        <w:autoSpaceDE w:val="0"/>
        <w:autoSpaceDN w:val="0"/>
        <w:adjustRightInd w:val="0"/>
        <w:spacing w:before="3" w:after="0" w:line="240" w:lineRule="auto"/>
        <w:rPr>
          <w:rFonts w:cs="Arial"/>
          <w:color w:val="000000"/>
        </w:rPr>
      </w:pPr>
      <w:r w:rsidRPr="0047128B">
        <w:rPr>
          <w:rFonts w:cs="Arial"/>
          <w:color w:val="000000"/>
        </w:rPr>
        <w:t>and only then</w:t>
      </w:r>
      <w:r w:rsidRPr="00720424">
        <w:rPr>
          <w:rFonts w:cs="Arial"/>
          <w:color w:val="000000"/>
        </w:rPr>
        <w:t xml:space="preserve"> in clean conventional electricity supply</w:t>
      </w:r>
    </w:p>
    <w:p w14:paraId="30DC6F49" w14:textId="77777777" w:rsidR="001F2B63" w:rsidRPr="00720424" w:rsidRDefault="001F2B63" w:rsidP="001F2B63">
      <w:pPr>
        <w:pStyle w:val="ListParagraph"/>
        <w:numPr>
          <w:ilvl w:val="1"/>
          <w:numId w:val="9"/>
        </w:numPr>
        <w:autoSpaceDE w:val="0"/>
        <w:autoSpaceDN w:val="0"/>
        <w:adjustRightInd w:val="0"/>
        <w:spacing w:before="3" w:after="0" w:line="240" w:lineRule="auto"/>
        <w:rPr>
          <w:rFonts w:cs="Arial"/>
          <w:color w:val="000000"/>
        </w:rPr>
      </w:pPr>
      <w:r w:rsidRPr="00720424">
        <w:rPr>
          <w:rFonts w:cs="Arial"/>
          <w:color w:val="000000"/>
        </w:rPr>
        <w:t>Examine needed changes in the following policy areas:</w:t>
      </w:r>
    </w:p>
    <w:p w14:paraId="13A6212F" w14:textId="77777777" w:rsidR="001F2B63" w:rsidRPr="00720424" w:rsidRDefault="001F2B63" w:rsidP="001F2B63">
      <w:pPr>
        <w:pStyle w:val="ListParagraph"/>
        <w:numPr>
          <w:ilvl w:val="2"/>
          <w:numId w:val="9"/>
        </w:numPr>
        <w:autoSpaceDE w:val="0"/>
        <w:autoSpaceDN w:val="0"/>
        <w:adjustRightInd w:val="0"/>
        <w:spacing w:before="3" w:after="0" w:line="240" w:lineRule="auto"/>
        <w:rPr>
          <w:rFonts w:cs="Arial"/>
          <w:color w:val="000000"/>
        </w:rPr>
      </w:pPr>
      <w:r w:rsidRPr="00720424">
        <w:rPr>
          <w:rFonts w:cs="Arial"/>
          <w:color w:val="000000"/>
        </w:rPr>
        <w:t>Energy efficiency</w:t>
      </w:r>
    </w:p>
    <w:p w14:paraId="6753BD7F" w14:textId="77777777" w:rsidR="001F2B63" w:rsidRPr="00720424" w:rsidRDefault="001F2B63" w:rsidP="001F2B63">
      <w:pPr>
        <w:pStyle w:val="ListParagraph"/>
        <w:numPr>
          <w:ilvl w:val="2"/>
          <w:numId w:val="9"/>
        </w:numPr>
        <w:autoSpaceDE w:val="0"/>
        <w:autoSpaceDN w:val="0"/>
        <w:adjustRightInd w:val="0"/>
        <w:spacing w:before="3" w:after="0" w:line="240" w:lineRule="auto"/>
        <w:rPr>
          <w:rFonts w:cs="Arial"/>
          <w:color w:val="000000"/>
        </w:rPr>
      </w:pPr>
      <w:r w:rsidRPr="00720424">
        <w:rPr>
          <w:rFonts w:cs="Arial"/>
          <w:color w:val="000000"/>
        </w:rPr>
        <w:t xml:space="preserve">Demand response </w:t>
      </w:r>
    </w:p>
    <w:p w14:paraId="12999E89" w14:textId="77777777" w:rsidR="001F2B63" w:rsidRPr="00720424" w:rsidRDefault="001F2B63" w:rsidP="001F2B63">
      <w:pPr>
        <w:pStyle w:val="ListParagraph"/>
        <w:numPr>
          <w:ilvl w:val="2"/>
          <w:numId w:val="9"/>
        </w:numPr>
        <w:autoSpaceDE w:val="0"/>
        <w:autoSpaceDN w:val="0"/>
        <w:adjustRightInd w:val="0"/>
        <w:spacing w:before="3" w:after="0" w:line="240" w:lineRule="auto"/>
        <w:rPr>
          <w:rFonts w:cs="Arial"/>
          <w:color w:val="000000"/>
        </w:rPr>
      </w:pPr>
      <w:r w:rsidRPr="00720424">
        <w:rPr>
          <w:rFonts w:cs="Arial"/>
          <w:color w:val="000000"/>
        </w:rPr>
        <w:t>Renewable energy</w:t>
      </w:r>
    </w:p>
    <w:p w14:paraId="2A63A8BD" w14:textId="77777777" w:rsidR="001F2B63" w:rsidRPr="00720424" w:rsidRDefault="001F2B63" w:rsidP="001F2B63">
      <w:pPr>
        <w:pStyle w:val="ListParagraph"/>
        <w:numPr>
          <w:ilvl w:val="2"/>
          <w:numId w:val="9"/>
        </w:numPr>
        <w:autoSpaceDE w:val="0"/>
        <w:autoSpaceDN w:val="0"/>
        <w:adjustRightInd w:val="0"/>
        <w:spacing w:before="3" w:after="0" w:line="240" w:lineRule="auto"/>
        <w:rPr>
          <w:rFonts w:cs="Arial"/>
          <w:color w:val="000000"/>
        </w:rPr>
      </w:pPr>
      <w:r w:rsidRPr="00720424">
        <w:rPr>
          <w:rFonts w:cs="Arial"/>
          <w:color w:val="000000"/>
        </w:rPr>
        <w:t>Electricity reliability and infrastructure</w:t>
      </w:r>
    </w:p>
    <w:p w14:paraId="4C4D32A0" w14:textId="77777777" w:rsidR="001F2B63" w:rsidRPr="00720424" w:rsidRDefault="001F2B63" w:rsidP="001F2B63">
      <w:pPr>
        <w:pStyle w:val="ListParagraph"/>
        <w:numPr>
          <w:ilvl w:val="2"/>
          <w:numId w:val="9"/>
        </w:numPr>
        <w:autoSpaceDE w:val="0"/>
        <w:autoSpaceDN w:val="0"/>
        <w:adjustRightInd w:val="0"/>
        <w:spacing w:before="3" w:after="0" w:line="240" w:lineRule="auto"/>
        <w:rPr>
          <w:rFonts w:cs="Arial"/>
          <w:color w:val="000000"/>
        </w:rPr>
      </w:pPr>
      <w:r w:rsidRPr="00720424">
        <w:rPr>
          <w:rFonts w:cs="Arial"/>
          <w:color w:val="000000"/>
        </w:rPr>
        <w:t>Electricity market structure</w:t>
      </w:r>
    </w:p>
    <w:p w14:paraId="489C0768" w14:textId="77777777" w:rsidR="001F2B63" w:rsidRPr="00720424" w:rsidRDefault="001F2B63" w:rsidP="001F2B63">
      <w:pPr>
        <w:pStyle w:val="ListParagraph"/>
        <w:numPr>
          <w:ilvl w:val="2"/>
          <w:numId w:val="9"/>
        </w:numPr>
        <w:autoSpaceDE w:val="0"/>
        <w:autoSpaceDN w:val="0"/>
        <w:adjustRightInd w:val="0"/>
        <w:spacing w:before="3" w:after="0" w:line="240" w:lineRule="auto"/>
        <w:rPr>
          <w:rFonts w:cs="Arial"/>
          <w:color w:val="000000"/>
        </w:rPr>
      </w:pPr>
      <w:r w:rsidRPr="00720424">
        <w:rPr>
          <w:rFonts w:cs="Arial"/>
          <w:color w:val="000000"/>
        </w:rPr>
        <w:t>Natural gas supply and infrastructure</w:t>
      </w:r>
    </w:p>
    <w:p w14:paraId="24D4EE1C" w14:textId="77777777" w:rsidR="001F2B63" w:rsidRPr="00720424" w:rsidRDefault="001F2B63" w:rsidP="001F2B63">
      <w:pPr>
        <w:pStyle w:val="ListParagraph"/>
        <w:numPr>
          <w:ilvl w:val="2"/>
          <w:numId w:val="9"/>
        </w:numPr>
        <w:autoSpaceDE w:val="0"/>
        <w:autoSpaceDN w:val="0"/>
        <w:adjustRightInd w:val="0"/>
        <w:spacing w:before="3" w:after="0" w:line="240" w:lineRule="auto"/>
        <w:rPr>
          <w:rFonts w:cs="Arial"/>
          <w:color w:val="000000"/>
        </w:rPr>
      </w:pPr>
      <w:r w:rsidRPr="00720424">
        <w:rPr>
          <w:rFonts w:cs="Arial"/>
          <w:color w:val="000000"/>
        </w:rPr>
        <w:t>Research and development</w:t>
      </w:r>
    </w:p>
    <w:p w14:paraId="17BF6D09" w14:textId="77777777" w:rsidR="001F2B63" w:rsidRPr="00720424" w:rsidRDefault="001F2B63" w:rsidP="001F2B63">
      <w:pPr>
        <w:pStyle w:val="ListParagraph"/>
        <w:numPr>
          <w:ilvl w:val="2"/>
          <w:numId w:val="9"/>
        </w:numPr>
        <w:autoSpaceDE w:val="0"/>
        <w:autoSpaceDN w:val="0"/>
        <w:adjustRightInd w:val="0"/>
        <w:spacing w:before="3" w:after="0" w:line="240" w:lineRule="auto"/>
        <w:rPr>
          <w:rFonts w:cs="Arial"/>
          <w:color w:val="000000"/>
        </w:rPr>
      </w:pPr>
      <w:r w:rsidRPr="00720424">
        <w:rPr>
          <w:rFonts w:cs="Arial"/>
          <w:color w:val="000000"/>
        </w:rPr>
        <w:lastRenderedPageBreak/>
        <w:t>Climate change</w:t>
      </w:r>
    </w:p>
    <w:p w14:paraId="25C6A2FA" w14:textId="77777777" w:rsidR="001F2B63" w:rsidRPr="00720424" w:rsidRDefault="001F2B63" w:rsidP="001F2B63">
      <w:pPr>
        <w:pStyle w:val="ListParagraph"/>
        <w:numPr>
          <w:ilvl w:val="0"/>
          <w:numId w:val="9"/>
        </w:numPr>
        <w:autoSpaceDE w:val="0"/>
        <w:autoSpaceDN w:val="0"/>
        <w:adjustRightInd w:val="0"/>
        <w:spacing w:before="3" w:after="0" w:line="240" w:lineRule="auto"/>
        <w:rPr>
          <w:rFonts w:cs="Arial"/>
          <w:color w:val="000000"/>
        </w:rPr>
      </w:pPr>
      <w:r w:rsidRPr="00720424">
        <w:rPr>
          <w:rFonts w:cs="Arial"/>
          <w:color w:val="000000"/>
        </w:rPr>
        <w:t>Senate Bill 350</w:t>
      </w:r>
    </w:p>
    <w:p w14:paraId="506706D8" w14:textId="77777777" w:rsidR="001F2B63" w:rsidRPr="00720424" w:rsidRDefault="001F2B63" w:rsidP="001F2B63">
      <w:pPr>
        <w:pStyle w:val="ListParagraph"/>
        <w:numPr>
          <w:ilvl w:val="1"/>
          <w:numId w:val="9"/>
        </w:numPr>
        <w:autoSpaceDE w:val="0"/>
        <w:autoSpaceDN w:val="0"/>
        <w:adjustRightInd w:val="0"/>
        <w:spacing w:before="3" w:after="0" w:line="240" w:lineRule="auto"/>
        <w:rPr>
          <w:rFonts w:cs="Arial"/>
          <w:color w:val="000000"/>
        </w:rPr>
      </w:pPr>
      <w:r w:rsidRPr="00720424">
        <w:rPr>
          <w:rFonts w:cs="Arial"/>
          <w:color w:val="000000"/>
        </w:rPr>
        <w:t>Sets a goal of doubling efficiency in buildings by 50% by 2030, and authorizes electrical and gas corporations to provide financial incentives to their customers that increases the energy efficiency of existing buildings.</w:t>
      </w:r>
    </w:p>
    <w:p w14:paraId="1B7E64E3" w14:textId="6A8E00F7" w:rsidR="001F2B63" w:rsidRPr="00720424" w:rsidRDefault="001F2B63" w:rsidP="001F2B63">
      <w:pPr>
        <w:pStyle w:val="ListParagraph"/>
        <w:numPr>
          <w:ilvl w:val="1"/>
          <w:numId w:val="9"/>
        </w:numPr>
        <w:autoSpaceDE w:val="0"/>
        <w:autoSpaceDN w:val="0"/>
        <w:adjustRightInd w:val="0"/>
        <w:spacing w:after="0" w:line="240" w:lineRule="auto"/>
        <w:rPr>
          <w:rFonts w:cs="Arial"/>
          <w:color w:val="000000"/>
        </w:rPr>
      </w:pPr>
      <w:r w:rsidRPr="00720424">
        <w:rPr>
          <w:rFonts w:cs="Arial"/>
          <w:color w:val="000000"/>
        </w:rPr>
        <w:t>Directs the</w:t>
      </w:r>
      <w:r w:rsidR="00972806">
        <w:rPr>
          <w:rFonts w:cs="Arial"/>
          <w:color w:val="000000"/>
        </w:rPr>
        <w:t xml:space="preserve"> California Energy Commission (</w:t>
      </w:r>
      <w:r w:rsidRPr="00720424">
        <w:rPr>
          <w:rFonts w:cs="Arial"/>
          <w:color w:val="000000"/>
        </w:rPr>
        <w:t>CEC</w:t>
      </w:r>
      <w:r w:rsidR="00972806">
        <w:rPr>
          <w:rFonts w:cs="Arial"/>
          <w:color w:val="000000"/>
        </w:rPr>
        <w:t>)</w:t>
      </w:r>
      <w:r w:rsidRPr="00720424">
        <w:rPr>
          <w:rFonts w:cs="Arial"/>
          <w:color w:val="000000"/>
        </w:rPr>
        <w:t xml:space="preserve"> to specify EE targets to meet the new goal and to specify programs that may be used to achieve the goal </w:t>
      </w:r>
    </w:p>
    <w:p w14:paraId="5AF118D4" w14:textId="77777777" w:rsidR="001F2B63" w:rsidRPr="00720424" w:rsidRDefault="001F2B63" w:rsidP="001F2B63">
      <w:pPr>
        <w:pStyle w:val="Default"/>
        <w:numPr>
          <w:ilvl w:val="2"/>
          <w:numId w:val="9"/>
        </w:numPr>
        <w:rPr>
          <w:rFonts w:asciiTheme="minorHAnsi" w:hAnsiTheme="minorHAnsi"/>
          <w:sz w:val="22"/>
          <w:szCs w:val="22"/>
        </w:rPr>
      </w:pPr>
      <w:r w:rsidRPr="00720424">
        <w:rPr>
          <w:rFonts w:asciiTheme="minorHAnsi" w:hAnsiTheme="minorHAnsi"/>
          <w:sz w:val="22"/>
          <w:szCs w:val="22"/>
        </w:rPr>
        <w:t xml:space="preserve">The CEC has defined doubling of efficiency to mean the doubling of the CEC’s Additional Achievable Energy Efficiency (AAEE) mid-case forecast by 2030 </w:t>
      </w:r>
    </w:p>
    <w:p w14:paraId="6E5257FA" w14:textId="77777777" w:rsidR="001F2B63" w:rsidRPr="00720424" w:rsidRDefault="001F2B63" w:rsidP="001F2B63">
      <w:pPr>
        <w:pStyle w:val="Default"/>
        <w:numPr>
          <w:ilvl w:val="3"/>
          <w:numId w:val="9"/>
        </w:numPr>
        <w:rPr>
          <w:rFonts w:asciiTheme="minorHAnsi" w:hAnsiTheme="minorHAnsi"/>
          <w:sz w:val="22"/>
          <w:szCs w:val="22"/>
        </w:rPr>
      </w:pPr>
      <w:r w:rsidRPr="00720424">
        <w:rPr>
          <w:rFonts w:asciiTheme="minorHAnsi" w:hAnsiTheme="minorHAnsi"/>
          <w:sz w:val="22"/>
          <w:szCs w:val="22"/>
        </w:rPr>
        <w:t>AAEE is not identical to, but is based on the CPUC Potential Study</w:t>
      </w:r>
    </w:p>
    <w:p w14:paraId="6805FF4A" w14:textId="77777777" w:rsidR="001F2B63" w:rsidRPr="00720424" w:rsidRDefault="001F2B63" w:rsidP="001F2B63">
      <w:pPr>
        <w:pStyle w:val="ListParagraph"/>
        <w:numPr>
          <w:ilvl w:val="0"/>
          <w:numId w:val="9"/>
        </w:numPr>
        <w:autoSpaceDE w:val="0"/>
        <w:autoSpaceDN w:val="0"/>
        <w:adjustRightInd w:val="0"/>
        <w:spacing w:before="3" w:after="0" w:line="240" w:lineRule="auto"/>
        <w:rPr>
          <w:rFonts w:cs="Arial"/>
          <w:color w:val="000000"/>
        </w:rPr>
      </w:pPr>
      <w:r w:rsidRPr="00720424">
        <w:rPr>
          <w:rFonts w:cs="Arial"/>
          <w:color w:val="000000"/>
        </w:rPr>
        <w:t>Assembly Bill 802</w:t>
      </w:r>
    </w:p>
    <w:p w14:paraId="491FA242" w14:textId="6A9BA905" w:rsidR="001F2B63" w:rsidRPr="00720424" w:rsidRDefault="001F2B63" w:rsidP="001F2B63">
      <w:pPr>
        <w:pStyle w:val="ListParagraph"/>
        <w:numPr>
          <w:ilvl w:val="1"/>
          <w:numId w:val="9"/>
        </w:numPr>
        <w:autoSpaceDE w:val="0"/>
        <w:autoSpaceDN w:val="0"/>
        <w:adjustRightInd w:val="0"/>
        <w:spacing w:before="3" w:after="0" w:line="240" w:lineRule="auto"/>
        <w:rPr>
          <w:rFonts w:cs="Arial"/>
          <w:color w:val="000000"/>
        </w:rPr>
      </w:pPr>
      <w:r w:rsidRPr="00720424">
        <w:rPr>
          <w:rFonts w:cs="Arial"/>
          <w:color w:val="000000"/>
        </w:rPr>
        <w:t>Requires the CPUC to authorize new programs that “measure overall energy usage reductions” for “modifications to existing buildings to bring them into conformity with, or exceed, the requirements of Title 24”.</w:t>
      </w:r>
    </w:p>
    <w:p w14:paraId="5DA098CA" w14:textId="77777777" w:rsidR="001F2B63" w:rsidRPr="00720424" w:rsidRDefault="001F2B63" w:rsidP="001F2B63">
      <w:pPr>
        <w:pStyle w:val="ListParagraph"/>
        <w:numPr>
          <w:ilvl w:val="1"/>
          <w:numId w:val="9"/>
        </w:numPr>
        <w:autoSpaceDE w:val="0"/>
        <w:autoSpaceDN w:val="0"/>
        <w:adjustRightInd w:val="0"/>
        <w:spacing w:before="3" w:after="0" w:line="240" w:lineRule="auto"/>
        <w:rPr>
          <w:rFonts w:cs="Arial"/>
          <w:color w:val="000000"/>
        </w:rPr>
      </w:pPr>
      <w:r w:rsidRPr="00720424">
        <w:rPr>
          <w:rFonts w:cs="Arial"/>
          <w:color w:val="000000"/>
        </w:rPr>
        <w:t>Introduces the notion on “below code EE savings”.</w:t>
      </w:r>
    </w:p>
    <w:p w14:paraId="75125CEA" w14:textId="77777777" w:rsidR="001F2B63" w:rsidRPr="00720424" w:rsidRDefault="001F2B63" w:rsidP="001F2B63">
      <w:pPr>
        <w:pStyle w:val="ListParagraph"/>
        <w:numPr>
          <w:ilvl w:val="0"/>
          <w:numId w:val="9"/>
        </w:numPr>
        <w:autoSpaceDE w:val="0"/>
        <w:autoSpaceDN w:val="0"/>
        <w:adjustRightInd w:val="0"/>
        <w:spacing w:before="3" w:after="0" w:line="240" w:lineRule="auto"/>
        <w:rPr>
          <w:rFonts w:cs="Arial"/>
          <w:color w:val="000000"/>
        </w:rPr>
      </w:pPr>
      <w:r w:rsidRPr="00720424">
        <w:rPr>
          <w:rFonts w:cs="Arial"/>
          <w:color w:val="000000"/>
        </w:rPr>
        <w:t>Assembly Bills 793</w:t>
      </w:r>
    </w:p>
    <w:p w14:paraId="5C836D8C" w14:textId="77777777" w:rsidR="001F2B63" w:rsidRPr="00720424" w:rsidRDefault="001F2B63" w:rsidP="001F2B63">
      <w:pPr>
        <w:pStyle w:val="ListParagraph"/>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3" w:after="0" w:line="240" w:lineRule="auto"/>
        <w:rPr>
          <w:rFonts w:cs="Arial"/>
          <w:color w:val="000000"/>
        </w:rPr>
      </w:pPr>
      <w:r w:rsidRPr="00720424">
        <w:rPr>
          <w:rFonts w:cs="Arial"/>
          <w:color w:val="000000"/>
        </w:rPr>
        <w:t>Requires weatherization programs for low-income customers, administered by electrical and gas corporations, include home energy management technology and</w:t>
      </w:r>
      <w:r w:rsidRPr="00B07DC1">
        <w:rPr>
          <w:rFonts w:cs="Arial"/>
          <w:color w:val="000000"/>
        </w:rPr>
        <w:t xml:space="preserve"> education programs on how to use advanced meters</w:t>
      </w:r>
    </w:p>
    <w:p w14:paraId="390E8D78" w14:textId="77777777" w:rsidR="001F2B63" w:rsidRPr="00720424" w:rsidRDefault="001F2B63" w:rsidP="001F2B63">
      <w:pPr>
        <w:pStyle w:val="ListParagraph"/>
        <w:numPr>
          <w:ilvl w:val="0"/>
          <w:numId w:val="9"/>
        </w:numPr>
        <w:autoSpaceDE w:val="0"/>
        <w:autoSpaceDN w:val="0"/>
        <w:adjustRightInd w:val="0"/>
        <w:spacing w:before="3" w:after="0" w:line="240" w:lineRule="auto"/>
        <w:rPr>
          <w:rFonts w:cs="Arial"/>
          <w:color w:val="000000"/>
        </w:rPr>
      </w:pPr>
      <w:r w:rsidRPr="00720424">
        <w:rPr>
          <w:rFonts w:cs="Arial"/>
          <w:color w:val="000000"/>
        </w:rPr>
        <w:t>Assembly Bill 758</w:t>
      </w:r>
    </w:p>
    <w:p w14:paraId="7E5606DD" w14:textId="77777777" w:rsidR="001F2B63" w:rsidRPr="00720424" w:rsidRDefault="001F2B63" w:rsidP="001F2B63">
      <w:pPr>
        <w:pStyle w:val="ListParagraph"/>
        <w:numPr>
          <w:ilvl w:val="1"/>
          <w:numId w:val="9"/>
        </w:numPr>
        <w:autoSpaceDE w:val="0"/>
        <w:autoSpaceDN w:val="0"/>
        <w:adjustRightInd w:val="0"/>
        <w:spacing w:before="3" w:after="0" w:line="240" w:lineRule="auto"/>
        <w:rPr>
          <w:rFonts w:cs="Arial"/>
          <w:color w:val="000000"/>
        </w:rPr>
      </w:pPr>
      <w:r w:rsidRPr="00720424">
        <w:rPr>
          <w:rFonts w:cs="Arial"/>
          <w:color w:val="000000"/>
        </w:rPr>
        <w:t>Requires the Energy Commission, in collaboration with the California Public Utilities Commission and stakeholders, to develop a comprehensive program to achieve greater energy efficiency in the state’s existing buildings</w:t>
      </w:r>
    </w:p>
    <w:p w14:paraId="4552370F" w14:textId="77777777" w:rsidR="001F2B63" w:rsidRPr="00720424" w:rsidRDefault="001F2B63" w:rsidP="001F2B63">
      <w:pPr>
        <w:pStyle w:val="ListParagraph"/>
        <w:numPr>
          <w:ilvl w:val="0"/>
          <w:numId w:val="9"/>
        </w:numPr>
        <w:autoSpaceDE w:val="0"/>
        <w:autoSpaceDN w:val="0"/>
        <w:adjustRightInd w:val="0"/>
        <w:spacing w:before="3" w:after="0" w:line="240" w:lineRule="auto"/>
        <w:rPr>
          <w:rFonts w:cs="Arial"/>
          <w:color w:val="000000"/>
        </w:rPr>
      </w:pPr>
      <w:bookmarkStart w:id="1" w:name="_Toc456023770"/>
      <w:bookmarkStart w:id="2" w:name="_Toc456620165"/>
      <w:r w:rsidRPr="00720424">
        <w:rPr>
          <w:rFonts w:cs="Arial"/>
          <w:color w:val="000000"/>
        </w:rPr>
        <w:t>Decision Providing Guidance for Initial Energy Efficiency Rolling Portfolio Business Plans Filings</w:t>
      </w:r>
      <w:bookmarkEnd w:id="1"/>
      <w:bookmarkEnd w:id="2"/>
      <w:r w:rsidRPr="00720424">
        <w:rPr>
          <w:rFonts w:cs="Arial"/>
          <w:color w:val="000000"/>
        </w:rPr>
        <w:t xml:space="preserve"> (D.16-08-019)</w:t>
      </w:r>
    </w:p>
    <w:p w14:paraId="7E170E24" w14:textId="77777777" w:rsidR="001F2B63" w:rsidRPr="00720424" w:rsidRDefault="001F2B63" w:rsidP="001F2B63">
      <w:pPr>
        <w:pStyle w:val="ListParagraph"/>
        <w:numPr>
          <w:ilvl w:val="1"/>
          <w:numId w:val="9"/>
        </w:numPr>
        <w:autoSpaceDE w:val="0"/>
        <w:autoSpaceDN w:val="0"/>
        <w:adjustRightInd w:val="0"/>
        <w:spacing w:before="3" w:after="0" w:line="240" w:lineRule="auto"/>
        <w:rPr>
          <w:rFonts w:cs="Arial"/>
          <w:color w:val="000000"/>
        </w:rPr>
      </w:pPr>
      <w:r w:rsidRPr="00720424">
        <w:rPr>
          <w:rFonts w:cs="Arial"/>
          <w:color w:val="000000"/>
        </w:rPr>
        <w:t>This decision gives policy guidance on several issues related to the filing of energy efficiency business plans, as previously contemplated in Decision 15</w:t>
      </w:r>
      <w:r w:rsidRPr="00720424">
        <w:rPr>
          <w:rFonts w:cs="Arial"/>
          <w:color w:val="000000"/>
        </w:rPr>
        <w:noBreakHyphen/>
        <w:t>10</w:t>
      </w:r>
      <w:r w:rsidRPr="00720424">
        <w:rPr>
          <w:rFonts w:cs="Arial"/>
          <w:color w:val="000000"/>
        </w:rPr>
        <w:noBreakHyphen/>
        <w:t>028, which set up the framework for the energy efficiency Rolling Portfolio process.</w:t>
      </w:r>
    </w:p>
    <w:p w14:paraId="55867729" w14:textId="77777777" w:rsidR="001F2B63" w:rsidRPr="00720424" w:rsidRDefault="001F2B63" w:rsidP="001F2B63">
      <w:pPr>
        <w:pStyle w:val="ListParagraph"/>
        <w:numPr>
          <w:ilvl w:val="1"/>
          <w:numId w:val="9"/>
        </w:numPr>
        <w:autoSpaceDE w:val="0"/>
        <w:autoSpaceDN w:val="0"/>
        <w:adjustRightInd w:val="0"/>
        <w:spacing w:before="3" w:after="0" w:line="240" w:lineRule="auto"/>
        <w:rPr>
          <w:rFonts w:cs="Arial"/>
          <w:color w:val="000000"/>
        </w:rPr>
      </w:pPr>
      <w:r w:rsidRPr="00720424">
        <w:t>The default baseline policy will be modified to be based on existing conditions</w:t>
      </w:r>
    </w:p>
    <w:p w14:paraId="229631F1" w14:textId="77777777" w:rsidR="001F2B63" w:rsidRPr="00720424" w:rsidRDefault="001F2B63" w:rsidP="001F2B63">
      <w:pPr>
        <w:pStyle w:val="ListParagraph"/>
        <w:numPr>
          <w:ilvl w:val="1"/>
          <w:numId w:val="9"/>
        </w:numPr>
        <w:autoSpaceDE w:val="0"/>
        <w:autoSpaceDN w:val="0"/>
        <w:adjustRightInd w:val="0"/>
        <w:spacing w:before="3" w:after="0" w:line="240" w:lineRule="auto"/>
        <w:rPr>
          <w:rFonts w:cs="Arial"/>
          <w:color w:val="000000"/>
        </w:rPr>
      </w:pPr>
      <w:r w:rsidRPr="00720424">
        <w:t>All upstream and midstream programs, as well as those with market transformation objectives, will be required to be administered by a lead statewide administrator</w:t>
      </w:r>
    </w:p>
    <w:p w14:paraId="7706C06A" w14:textId="77777777" w:rsidR="001F2B63" w:rsidRPr="00720424" w:rsidRDefault="001F2B63" w:rsidP="001F2B63">
      <w:pPr>
        <w:pStyle w:val="ListParagraph"/>
        <w:numPr>
          <w:ilvl w:val="1"/>
          <w:numId w:val="9"/>
        </w:numPr>
        <w:spacing w:after="120" w:line="240" w:lineRule="auto"/>
        <w:ind w:right="720"/>
        <w:contextualSpacing w:val="0"/>
      </w:pPr>
      <w:r w:rsidRPr="00720424">
        <w:t>Utility administrators are required to maintain the current 20 percent requirement for third-party programs, and to present a proposal for transitioning to a portfolio with the majority of program design and delivery provided by third parties, subject to certain exceptions, with at least 60 percent of the total portfolio budget going to third-party programs by 2020, in the business plans.</w:t>
      </w:r>
    </w:p>
    <w:p w14:paraId="5910A8DA" w14:textId="77777777" w:rsidR="001F2B63" w:rsidRPr="00720424" w:rsidRDefault="001F2B63" w:rsidP="001F2B63">
      <w:pPr>
        <w:pStyle w:val="ListParagraph"/>
        <w:numPr>
          <w:ilvl w:val="1"/>
          <w:numId w:val="9"/>
        </w:numPr>
        <w:spacing w:after="120" w:line="240" w:lineRule="auto"/>
        <w:ind w:right="720"/>
        <w:contextualSpacing w:val="0"/>
      </w:pPr>
      <w:r w:rsidRPr="00720424">
        <w:t>Evaluation priorities are expanded to include portfolio and sector optimization.</w:t>
      </w:r>
    </w:p>
    <w:p w14:paraId="6F2AA742" w14:textId="77777777" w:rsidR="001F2B63" w:rsidRPr="00720424" w:rsidRDefault="001F2B63" w:rsidP="001F2B63">
      <w:pPr>
        <w:pStyle w:val="ListParagraph"/>
        <w:numPr>
          <w:ilvl w:val="1"/>
          <w:numId w:val="9"/>
        </w:numPr>
        <w:spacing w:after="120" w:line="240" w:lineRule="auto"/>
        <w:ind w:right="720"/>
        <w:contextualSpacing w:val="0"/>
      </w:pPr>
      <w:r w:rsidRPr="00720424">
        <w:t>Evaluation budgets will remain at four percent of the total portfolio, with at least 60 percent reserved for Commission staff evaluation efforts and up to 40 percent for program administrators, to be further divided proportionally among utilities, community choice aggregators, and regional energy networks by appropriate utility service area.</w:t>
      </w:r>
    </w:p>
    <w:p w14:paraId="525F76AD" w14:textId="77777777" w:rsidR="001F2B63" w:rsidRPr="00720424" w:rsidRDefault="001F2B63" w:rsidP="001F2B63">
      <w:pPr>
        <w:pStyle w:val="ListParagraph"/>
        <w:numPr>
          <w:ilvl w:val="1"/>
          <w:numId w:val="9"/>
        </w:numPr>
        <w:spacing w:after="120" w:line="240" w:lineRule="auto"/>
        <w:ind w:right="720"/>
        <w:contextualSpacing w:val="0"/>
      </w:pPr>
      <w:r w:rsidRPr="00720424">
        <w:t>The weighting of Energy Savings Performance Incentive (ESPI) mechanism scores will be modified slightly.</w:t>
      </w:r>
    </w:p>
    <w:p w14:paraId="3358B3AC" w14:textId="77777777" w:rsidR="001F2B63" w:rsidRDefault="001F2B63" w:rsidP="007534CE">
      <w:pPr>
        <w:autoSpaceDE w:val="0"/>
        <w:autoSpaceDN w:val="0"/>
        <w:adjustRightInd w:val="0"/>
        <w:spacing w:before="7" w:after="0" w:line="240" w:lineRule="auto"/>
        <w:rPr>
          <w:rFonts w:cs="Arial"/>
          <w:color w:val="535557"/>
          <w:sz w:val="24"/>
          <w:szCs w:val="24"/>
        </w:rPr>
      </w:pPr>
    </w:p>
    <w:p w14:paraId="6CF1ABBE" w14:textId="77777777" w:rsidR="001F2B63" w:rsidRDefault="001F2B63" w:rsidP="007534CE">
      <w:pPr>
        <w:autoSpaceDE w:val="0"/>
        <w:autoSpaceDN w:val="0"/>
        <w:adjustRightInd w:val="0"/>
        <w:spacing w:before="7" w:after="0" w:line="240" w:lineRule="auto"/>
        <w:rPr>
          <w:rFonts w:cs="Arial"/>
          <w:color w:val="535557"/>
          <w:sz w:val="24"/>
          <w:szCs w:val="24"/>
        </w:rPr>
      </w:pPr>
    </w:p>
    <w:p w14:paraId="0E568533" w14:textId="77777777" w:rsidR="007534CE" w:rsidRDefault="007534CE" w:rsidP="007534CE">
      <w:pPr>
        <w:pStyle w:val="Heading4"/>
      </w:pPr>
      <w:r>
        <w:t>Budget Trends</w:t>
      </w:r>
    </w:p>
    <w:p w14:paraId="28409BAB" w14:textId="77777777" w:rsidR="007534CE" w:rsidRDefault="007534CE" w:rsidP="007534CE">
      <w:pPr>
        <w:autoSpaceDE w:val="0"/>
        <w:autoSpaceDN w:val="0"/>
        <w:adjustRightInd w:val="0"/>
        <w:spacing w:before="7" w:after="0" w:line="240" w:lineRule="auto"/>
      </w:pPr>
      <w:r>
        <w:t xml:space="preserve">In past EE Potential and Goals studies, </w:t>
      </w:r>
      <w:r w:rsidRPr="00C84D5C">
        <w:t xml:space="preserve">most </w:t>
      </w:r>
      <w:r>
        <w:t>EE Potential modeling was performed on</w:t>
      </w:r>
      <w:r w:rsidRPr="00C84D5C">
        <w:t xml:space="preserve"> </w:t>
      </w:r>
      <w:r>
        <w:t xml:space="preserve">well vetted and researched programs with long storied histories.  These programs operated in placid environments where, in most cases, change occurred slowly, and could be reasonably anticipated.  </w:t>
      </w:r>
    </w:p>
    <w:p w14:paraId="51A0B40E" w14:textId="77777777" w:rsidR="007534CE" w:rsidRDefault="007534CE" w:rsidP="007534CE">
      <w:pPr>
        <w:autoSpaceDE w:val="0"/>
        <w:autoSpaceDN w:val="0"/>
        <w:adjustRightInd w:val="0"/>
        <w:spacing w:before="7" w:after="0" w:line="240" w:lineRule="auto"/>
      </w:pPr>
    </w:p>
    <w:p w14:paraId="1D285B20" w14:textId="77777777" w:rsidR="007534CE" w:rsidRDefault="007534CE" w:rsidP="007534CE">
      <w:pPr>
        <w:autoSpaceDE w:val="0"/>
        <w:autoSpaceDN w:val="0"/>
        <w:adjustRightInd w:val="0"/>
        <w:spacing w:before="7" w:after="0" w:line="240" w:lineRule="auto"/>
      </w:pPr>
      <w:r>
        <w:t>The business environment in which EE programs now operate is quickly changing, and SCE programs are changing with it.  SCE in the process of significantly reducing EE program expenditures.  Below, please find a graphic that depicts filed EE program budgets for program years 2014 and 2015, and estimated budgets for the 2016 and 2017 program years.</w:t>
      </w:r>
      <w:r w:rsidR="00F641ED">
        <w:t xml:space="preserve"> </w:t>
      </w:r>
    </w:p>
    <w:p w14:paraId="436F9790" w14:textId="77777777" w:rsidR="00735CE3" w:rsidRDefault="00735CE3" w:rsidP="007534CE">
      <w:pPr>
        <w:autoSpaceDE w:val="0"/>
        <w:autoSpaceDN w:val="0"/>
        <w:adjustRightInd w:val="0"/>
        <w:spacing w:before="7" w:after="0" w:line="240" w:lineRule="auto"/>
      </w:pPr>
    </w:p>
    <w:p w14:paraId="303C8C87" w14:textId="77777777" w:rsidR="007534CE" w:rsidRDefault="007534CE" w:rsidP="007534CE">
      <w:pPr>
        <w:autoSpaceDE w:val="0"/>
        <w:autoSpaceDN w:val="0"/>
        <w:adjustRightInd w:val="0"/>
        <w:spacing w:before="7" w:after="0" w:line="240" w:lineRule="auto"/>
      </w:pPr>
      <w:r>
        <w:rPr>
          <w:noProof/>
        </w:rPr>
        <w:drawing>
          <wp:inline distT="0" distB="0" distL="0" distR="0" wp14:anchorId="5D0EA744" wp14:editId="1633D4FA">
            <wp:extent cx="4588933" cy="2472267"/>
            <wp:effectExtent l="0" t="0" r="2540" b="444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DE7EFD6" w14:textId="77777777" w:rsidR="0089077A" w:rsidRPr="00E92F01" w:rsidRDefault="007149DA" w:rsidP="007534CE">
      <w:pPr>
        <w:pStyle w:val="Heading1"/>
        <w:numPr>
          <w:ilvl w:val="0"/>
          <w:numId w:val="36"/>
        </w:numPr>
      </w:pPr>
      <w:r w:rsidRPr="00E92F01">
        <w:t>Calibration</w:t>
      </w:r>
    </w:p>
    <w:p w14:paraId="65E8A195" w14:textId="77777777" w:rsidR="007534CE" w:rsidRDefault="00897736" w:rsidP="00897736">
      <w:pPr>
        <w:pStyle w:val="Default"/>
        <w:spacing w:before="3"/>
        <w:rPr>
          <w:rFonts w:asciiTheme="minorHAnsi" w:hAnsiTheme="minorHAnsi" w:cstheme="minorBidi"/>
          <w:color w:val="auto"/>
          <w:sz w:val="22"/>
          <w:szCs w:val="22"/>
        </w:rPr>
      </w:pPr>
      <w:r w:rsidRPr="00897736">
        <w:rPr>
          <w:rFonts w:asciiTheme="minorHAnsi" w:hAnsiTheme="minorHAnsi" w:cstheme="minorBidi"/>
          <w:color w:val="auto"/>
          <w:sz w:val="22"/>
          <w:szCs w:val="22"/>
        </w:rPr>
        <w:t>The calculation of EE program goals is designed to provide a yardstick on which EE program success or failure can be measured.</w:t>
      </w:r>
      <w:r>
        <w:rPr>
          <w:rFonts w:asciiTheme="minorHAnsi" w:hAnsiTheme="minorHAnsi" w:cstheme="minorBidi"/>
          <w:color w:val="auto"/>
          <w:sz w:val="22"/>
          <w:szCs w:val="22"/>
        </w:rPr>
        <w:t xml:space="preserve">  The current yardstick supplies the </w:t>
      </w:r>
      <w:r w:rsidR="007550F5">
        <w:rPr>
          <w:rFonts w:asciiTheme="minorHAnsi" w:hAnsiTheme="minorHAnsi" w:cstheme="minorBidi"/>
          <w:color w:val="auto"/>
          <w:sz w:val="22"/>
          <w:szCs w:val="22"/>
        </w:rPr>
        <w:t>Program Administrator’s (PA’s)</w:t>
      </w:r>
      <w:r>
        <w:rPr>
          <w:rFonts w:asciiTheme="minorHAnsi" w:hAnsiTheme="minorHAnsi" w:cstheme="minorBidi"/>
          <w:color w:val="auto"/>
          <w:sz w:val="22"/>
          <w:szCs w:val="22"/>
        </w:rPr>
        <w:t xml:space="preserve"> with energy (GWh) and demand (MW) goals</w:t>
      </w:r>
      <w:r w:rsidR="007534CE">
        <w:rPr>
          <w:rFonts w:asciiTheme="minorHAnsi" w:hAnsiTheme="minorHAnsi" w:cstheme="minorBidi"/>
          <w:color w:val="auto"/>
          <w:sz w:val="22"/>
          <w:szCs w:val="22"/>
        </w:rPr>
        <w:t xml:space="preserve"> calibrated to past program accomplishments.  </w:t>
      </w:r>
    </w:p>
    <w:p w14:paraId="288BBDDA" w14:textId="77777777" w:rsidR="007534CE" w:rsidRDefault="007534CE" w:rsidP="00897736">
      <w:pPr>
        <w:pStyle w:val="Default"/>
        <w:spacing w:before="3"/>
        <w:rPr>
          <w:rFonts w:asciiTheme="minorHAnsi" w:hAnsiTheme="minorHAnsi" w:cstheme="minorBidi"/>
          <w:color w:val="auto"/>
          <w:sz w:val="22"/>
          <w:szCs w:val="22"/>
        </w:rPr>
      </w:pPr>
    </w:p>
    <w:p w14:paraId="13FF1D2E" w14:textId="77777777" w:rsidR="001D5000" w:rsidRPr="001D5000" w:rsidRDefault="007534CE" w:rsidP="001D5000">
      <w:pPr>
        <w:pStyle w:val="Default"/>
        <w:spacing w:before="3"/>
        <w:rPr>
          <w:rFonts w:asciiTheme="minorHAnsi" w:hAnsiTheme="minorHAnsi" w:cstheme="minorBidi"/>
          <w:color w:val="auto"/>
          <w:sz w:val="22"/>
          <w:szCs w:val="22"/>
        </w:rPr>
      </w:pPr>
      <w:r>
        <w:rPr>
          <w:rFonts w:asciiTheme="minorHAnsi" w:hAnsiTheme="minorHAnsi" w:cstheme="minorBidi"/>
          <w:color w:val="auto"/>
          <w:sz w:val="22"/>
          <w:szCs w:val="22"/>
        </w:rPr>
        <w:t xml:space="preserve">This calibration method allows modelers </w:t>
      </w:r>
      <w:r w:rsidRPr="007534CE">
        <w:rPr>
          <w:rFonts w:asciiTheme="minorHAnsi" w:hAnsiTheme="minorHAnsi" w:cstheme="minorBidi"/>
          <w:color w:val="auto"/>
          <w:sz w:val="22"/>
          <w:szCs w:val="22"/>
        </w:rPr>
        <w:t xml:space="preserve">constructed </w:t>
      </w:r>
      <w:r>
        <w:rPr>
          <w:rFonts w:asciiTheme="minorHAnsi" w:hAnsiTheme="minorHAnsi" w:cstheme="minorBidi"/>
          <w:color w:val="auto"/>
          <w:sz w:val="22"/>
          <w:szCs w:val="22"/>
        </w:rPr>
        <w:t xml:space="preserve">a </w:t>
      </w:r>
      <w:r w:rsidRPr="007534CE">
        <w:rPr>
          <w:rFonts w:asciiTheme="minorHAnsi" w:hAnsiTheme="minorHAnsi" w:cstheme="minorBidi"/>
          <w:color w:val="auto"/>
          <w:sz w:val="22"/>
          <w:szCs w:val="22"/>
        </w:rPr>
        <w:t xml:space="preserve">model </w:t>
      </w:r>
      <w:r>
        <w:rPr>
          <w:rFonts w:asciiTheme="minorHAnsi" w:hAnsiTheme="minorHAnsi" w:cstheme="minorBidi"/>
          <w:color w:val="auto"/>
          <w:sz w:val="22"/>
          <w:szCs w:val="22"/>
        </w:rPr>
        <w:t xml:space="preserve">that accounts </w:t>
      </w:r>
      <w:r w:rsidRPr="007534CE">
        <w:rPr>
          <w:rFonts w:asciiTheme="minorHAnsi" w:hAnsiTheme="minorHAnsi" w:cstheme="minorBidi"/>
          <w:color w:val="auto"/>
          <w:sz w:val="22"/>
          <w:szCs w:val="22"/>
        </w:rPr>
        <w:t xml:space="preserve">uncertainty, program limitations, barriers to program adoption, </w:t>
      </w:r>
      <w:r w:rsidR="001D5000">
        <w:rPr>
          <w:rFonts w:asciiTheme="minorHAnsi" w:hAnsiTheme="minorHAnsi" w:cstheme="minorBidi"/>
          <w:color w:val="auto"/>
          <w:sz w:val="22"/>
          <w:szCs w:val="22"/>
        </w:rPr>
        <w:t>and regulator limitations</w:t>
      </w:r>
      <w:r w:rsidRPr="007534CE">
        <w:rPr>
          <w:rFonts w:asciiTheme="minorHAnsi" w:hAnsiTheme="minorHAnsi" w:cstheme="minorBidi"/>
          <w:color w:val="auto"/>
          <w:sz w:val="22"/>
          <w:szCs w:val="22"/>
        </w:rPr>
        <w:t xml:space="preserve">. </w:t>
      </w:r>
      <w:r w:rsidR="001D5000" w:rsidRPr="001D5000">
        <w:rPr>
          <w:rFonts w:asciiTheme="minorHAnsi" w:hAnsiTheme="minorHAnsi" w:cstheme="minorBidi"/>
          <w:color w:val="auto"/>
          <w:sz w:val="22"/>
          <w:szCs w:val="22"/>
        </w:rPr>
        <w:t>Model calibration is intended to achieve three main purposes:</w:t>
      </w:r>
    </w:p>
    <w:p w14:paraId="3D0F1E0A" w14:textId="77777777" w:rsidR="001D5000" w:rsidRPr="00650238" w:rsidRDefault="001D5000" w:rsidP="001D5000">
      <w:pPr>
        <w:pStyle w:val="ListParagraph"/>
        <w:numPr>
          <w:ilvl w:val="0"/>
          <w:numId w:val="29"/>
        </w:numPr>
        <w:autoSpaceDE w:val="0"/>
        <w:autoSpaceDN w:val="0"/>
        <w:adjustRightInd w:val="0"/>
        <w:spacing w:after="0" w:line="240" w:lineRule="auto"/>
      </w:pPr>
      <w:r w:rsidRPr="00650238">
        <w:t>Ground the model in actual market conditions and ensure the model reproduces historic program achievements</w:t>
      </w:r>
    </w:p>
    <w:p w14:paraId="0800458B" w14:textId="77777777" w:rsidR="001D5000" w:rsidRDefault="001D5000" w:rsidP="001D5000">
      <w:pPr>
        <w:pStyle w:val="ListParagraph"/>
        <w:numPr>
          <w:ilvl w:val="0"/>
          <w:numId w:val="29"/>
        </w:numPr>
        <w:autoSpaceDE w:val="0"/>
        <w:autoSpaceDN w:val="0"/>
        <w:adjustRightInd w:val="0"/>
        <w:spacing w:after="0" w:line="240" w:lineRule="auto"/>
      </w:pPr>
      <w:r w:rsidRPr="00650238">
        <w:t>Ensure a realistic starting point from which future projects are made</w:t>
      </w:r>
    </w:p>
    <w:p w14:paraId="0D78AC28" w14:textId="77777777" w:rsidR="001D5000" w:rsidRDefault="001D5000" w:rsidP="001D5000">
      <w:pPr>
        <w:pStyle w:val="ListParagraph"/>
        <w:numPr>
          <w:ilvl w:val="0"/>
          <w:numId w:val="29"/>
        </w:numPr>
        <w:autoSpaceDE w:val="0"/>
        <w:autoSpaceDN w:val="0"/>
        <w:adjustRightInd w:val="0"/>
        <w:spacing w:after="0" w:line="240" w:lineRule="auto"/>
      </w:pPr>
      <w:r w:rsidRPr="00650238">
        <w:t>Account for varying levels of market barriers across different types of technologies and end uses</w:t>
      </w:r>
    </w:p>
    <w:p w14:paraId="69713905" w14:textId="77777777" w:rsidR="001D5000" w:rsidRDefault="001D5000" w:rsidP="00897736">
      <w:pPr>
        <w:pStyle w:val="Default"/>
        <w:spacing w:before="3"/>
        <w:rPr>
          <w:rFonts w:asciiTheme="minorHAnsi" w:hAnsiTheme="minorHAnsi" w:cstheme="minorBidi"/>
          <w:color w:val="auto"/>
          <w:sz w:val="22"/>
          <w:szCs w:val="22"/>
        </w:rPr>
      </w:pPr>
    </w:p>
    <w:p w14:paraId="37A56163" w14:textId="77777777" w:rsidR="00680450" w:rsidRDefault="001D5000" w:rsidP="001D5000">
      <w:pPr>
        <w:pStyle w:val="Default"/>
        <w:spacing w:before="3"/>
        <w:rPr>
          <w:rFonts w:asciiTheme="minorHAnsi" w:hAnsiTheme="minorHAnsi" w:cstheme="minorBidi"/>
          <w:color w:val="auto"/>
          <w:sz w:val="22"/>
          <w:szCs w:val="22"/>
        </w:rPr>
      </w:pPr>
      <w:r>
        <w:rPr>
          <w:rFonts w:asciiTheme="minorHAnsi" w:hAnsiTheme="minorHAnsi" w:cstheme="minorBidi"/>
          <w:color w:val="auto"/>
          <w:sz w:val="22"/>
          <w:szCs w:val="22"/>
        </w:rPr>
        <w:t>Once the model is grounded, the model can then reasonably forecast the effects of anticipated changes to the EE market place that affect EE program ability reliably and cost-effectively capture EE savings.</w:t>
      </w:r>
    </w:p>
    <w:p w14:paraId="5E95F45F" w14:textId="77777777" w:rsidR="001D5000" w:rsidRDefault="001D5000" w:rsidP="001D5000">
      <w:pPr>
        <w:pStyle w:val="Default"/>
        <w:spacing w:before="3"/>
        <w:rPr>
          <w:rFonts w:asciiTheme="minorHAnsi" w:hAnsiTheme="minorHAnsi" w:cstheme="minorBidi"/>
          <w:color w:val="auto"/>
          <w:sz w:val="22"/>
          <w:szCs w:val="22"/>
        </w:rPr>
      </w:pPr>
    </w:p>
    <w:p w14:paraId="39CCBF72" w14:textId="77777777" w:rsidR="00397C86" w:rsidRDefault="00920D74" w:rsidP="007534CE">
      <w:pPr>
        <w:pStyle w:val="Heading3"/>
      </w:pPr>
      <w:r>
        <w:t xml:space="preserve">Proposed </w:t>
      </w:r>
      <w:r w:rsidR="00397C86">
        <w:t>Calibration Approach</w:t>
      </w:r>
    </w:p>
    <w:p w14:paraId="7ED95792" w14:textId="77777777" w:rsidR="00920D74" w:rsidRDefault="00650238" w:rsidP="001F2B63">
      <w:pPr>
        <w:autoSpaceDE w:val="0"/>
        <w:autoSpaceDN w:val="0"/>
        <w:adjustRightInd w:val="0"/>
        <w:spacing w:before="7" w:after="0" w:line="240" w:lineRule="auto"/>
      </w:pPr>
      <w:r>
        <w:t>NCI’s</w:t>
      </w:r>
      <w:r w:rsidR="00094066">
        <w:t xml:space="preserve"> </w:t>
      </w:r>
      <w:r w:rsidR="007534CE">
        <w:t xml:space="preserve">2018 </w:t>
      </w:r>
      <w:r w:rsidR="00094066">
        <w:t xml:space="preserve">proposed calibration methodology seeks to </w:t>
      </w:r>
      <w:r w:rsidR="00397C86" w:rsidRPr="00494BE0">
        <w:t>anchor</w:t>
      </w:r>
      <w:r w:rsidR="002A4EE8">
        <w:t xml:space="preserve"> model</w:t>
      </w:r>
      <w:r w:rsidR="00397C86" w:rsidRPr="00494BE0">
        <w:t xml:space="preserve"> </w:t>
      </w:r>
      <w:r w:rsidR="00094066">
        <w:t xml:space="preserve">calibration </w:t>
      </w:r>
      <w:r w:rsidR="00397C86" w:rsidRPr="00494BE0">
        <w:t xml:space="preserve">to historical </w:t>
      </w:r>
      <w:r w:rsidR="00AE2867" w:rsidRPr="00494BE0">
        <w:t>2013-2015 IOU reported Incentive and Admin Expenditures</w:t>
      </w:r>
      <w:r w:rsidR="00680450">
        <w:t xml:space="preserve"> (</w:t>
      </w:r>
      <w:r w:rsidR="00920D74" w:rsidRPr="00494BE0">
        <w:t>not efficiency savings</w:t>
      </w:r>
      <w:r w:rsidR="00680450">
        <w:t>)</w:t>
      </w:r>
      <w:r w:rsidR="00397C86" w:rsidRPr="007149DA">
        <w:t>.</w:t>
      </w:r>
    </w:p>
    <w:p w14:paraId="7301701A" w14:textId="77777777" w:rsidR="001F2B63" w:rsidRPr="00494BE0" w:rsidRDefault="001F2B63" w:rsidP="001F2B63">
      <w:pPr>
        <w:autoSpaceDE w:val="0"/>
        <w:autoSpaceDN w:val="0"/>
        <w:adjustRightInd w:val="0"/>
        <w:spacing w:before="7" w:after="0" w:line="240" w:lineRule="auto"/>
      </w:pPr>
    </w:p>
    <w:p w14:paraId="19367D39" w14:textId="77777777" w:rsidR="00094066" w:rsidRDefault="00920D74" w:rsidP="00920D74">
      <w:pPr>
        <w:pStyle w:val="Default"/>
        <w:spacing w:before="3"/>
        <w:rPr>
          <w:rFonts w:asciiTheme="minorHAnsi" w:hAnsiTheme="minorHAnsi" w:cstheme="minorBidi"/>
          <w:color w:val="auto"/>
          <w:sz w:val="22"/>
          <w:szCs w:val="22"/>
        </w:rPr>
      </w:pPr>
      <w:r w:rsidRPr="00494BE0">
        <w:rPr>
          <w:rFonts w:asciiTheme="minorHAnsi" w:hAnsiTheme="minorHAnsi" w:cstheme="minorBidi"/>
          <w:color w:val="auto"/>
          <w:sz w:val="22"/>
          <w:szCs w:val="22"/>
        </w:rPr>
        <w:lastRenderedPageBreak/>
        <w:t xml:space="preserve">Additionally, the proposed calibration methodology is designed to take into account </w:t>
      </w:r>
      <w:r w:rsidR="002E5A8B">
        <w:rPr>
          <w:rFonts w:asciiTheme="minorHAnsi" w:hAnsiTheme="minorHAnsi" w:cstheme="minorBidi"/>
          <w:color w:val="auto"/>
          <w:sz w:val="22"/>
          <w:szCs w:val="22"/>
        </w:rPr>
        <w:t>an</w:t>
      </w:r>
      <w:r w:rsidRPr="00494BE0">
        <w:rPr>
          <w:rFonts w:asciiTheme="minorHAnsi" w:hAnsiTheme="minorHAnsi" w:cstheme="minorBidi"/>
          <w:color w:val="auto"/>
          <w:sz w:val="22"/>
          <w:szCs w:val="22"/>
        </w:rPr>
        <w:t xml:space="preserve"> order from SB350</w:t>
      </w:r>
      <w:r w:rsidR="00094066">
        <w:rPr>
          <w:rFonts w:asciiTheme="minorHAnsi" w:hAnsiTheme="minorHAnsi" w:cstheme="minorBidi"/>
          <w:color w:val="auto"/>
          <w:sz w:val="22"/>
          <w:szCs w:val="22"/>
        </w:rPr>
        <w:t xml:space="preserve"> which states in part</w:t>
      </w:r>
      <w:r w:rsidRPr="00494BE0">
        <w:rPr>
          <w:rFonts w:asciiTheme="minorHAnsi" w:hAnsiTheme="minorHAnsi" w:cstheme="minorBidi"/>
          <w:color w:val="auto"/>
          <w:sz w:val="22"/>
          <w:szCs w:val="22"/>
        </w:rPr>
        <w:t xml:space="preserve">: </w:t>
      </w:r>
    </w:p>
    <w:p w14:paraId="5A6EBD36" w14:textId="77777777" w:rsidR="00094066" w:rsidRDefault="00094066" w:rsidP="00920D74">
      <w:pPr>
        <w:pStyle w:val="Default"/>
        <w:spacing w:before="3"/>
        <w:rPr>
          <w:rFonts w:asciiTheme="minorHAnsi" w:hAnsiTheme="minorHAnsi" w:cstheme="minorBidi"/>
          <w:color w:val="auto"/>
          <w:sz w:val="22"/>
          <w:szCs w:val="22"/>
        </w:rPr>
      </w:pPr>
    </w:p>
    <w:p w14:paraId="655DA1B9" w14:textId="77777777" w:rsidR="00920D74" w:rsidRPr="00094066" w:rsidRDefault="00920D74" w:rsidP="00094066">
      <w:pPr>
        <w:pStyle w:val="Default"/>
        <w:spacing w:before="3"/>
        <w:ind w:left="720"/>
        <w:rPr>
          <w:rFonts w:asciiTheme="minorHAnsi" w:hAnsiTheme="minorHAnsi" w:cstheme="minorBidi"/>
          <w:i/>
          <w:color w:val="auto"/>
          <w:sz w:val="22"/>
          <w:szCs w:val="22"/>
        </w:rPr>
      </w:pPr>
      <w:r w:rsidRPr="00094066">
        <w:rPr>
          <w:rFonts w:asciiTheme="minorHAnsi" w:hAnsiTheme="minorHAnsi" w:cstheme="minorBidi"/>
          <w:i/>
          <w:color w:val="auto"/>
          <w:sz w:val="22"/>
          <w:szCs w:val="22"/>
        </w:rPr>
        <w:t>“In assessing the feasibility and cost-effectiveness of energy efficiency savings … the Public Utilities Commission shall consider the results of energy efficiency potential studies that are not restricted by previous levels of utility energy efficiency savings.”</w:t>
      </w:r>
    </w:p>
    <w:p w14:paraId="54121FA1" w14:textId="77777777" w:rsidR="00397C86" w:rsidRDefault="00397C86" w:rsidP="00397C86">
      <w:pPr>
        <w:autoSpaceDE w:val="0"/>
        <w:autoSpaceDN w:val="0"/>
        <w:adjustRightInd w:val="0"/>
        <w:spacing w:before="7" w:after="0" w:line="240" w:lineRule="auto"/>
        <w:rPr>
          <w:rFonts w:cs="Arial"/>
          <w:color w:val="535557"/>
          <w:sz w:val="24"/>
          <w:szCs w:val="24"/>
        </w:rPr>
      </w:pPr>
    </w:p>
    <w:p w14:paraId="56545321" w14:textId="77777777" w:rsidR="007534CE" w:rsidRPr="007149DA" w:rsidRDefault="007534CE" w:rsidP="00397C86">
      <w:pPr>
        <w:autoSpaceDE w:val="0"/>
        <w:autoSpaceDN w:val="0"/>
        <w:adjustRightInd w:val="0"/>
        <w:spacing w:before="7" w:after="0" w:line="240" w:lineRule="auto"/>
        <w:rPr>
          <w:rFonts w:cs="Arial"/>
          <w:color w:val="535557"/>
          <w:sz w:val="24"/>
          <w:szCs w:val="24"/>
        </w:rPr>
      </w:pPr>
    </w:p>
    <w:p w14:paraId="7C060B8D" w14:textId="77777777" w:rsidR="00397C86" w:rsidRPr="00920D74" w:rsidRDefault="00BA6572" w:rsidP="00BA6572">
      <w:pPr>
        <w:pStyle w:val="Heading2"/>
        <w:rPr>
          <w:rFonts w:asciiTheme="minorHAnsi" w:hAnsiTheme="minorHAnsi"/>
        </w:rPr>
      </w:pPr>
      <w:r>
        <w:t>SCE’s Calibration Response</w:t>
      </w:r>
    </w:p>
    <w:p w14:paraId="0EF61603" w14:textId="5DFE7D92" w:rsidR="00FC5EE7" w:rsidRDefault="00C87CDB" w:rsidP="00B95EF2">
      <w:pPr>
        <w:autoSpaceDE w:val="0"/>
        <w:autoSpaceDN w:val="0"/>
        <w:adjustRightInd w:val="0"/>
        <w:spacing w:before="7" w:after="0" w:line="240" w:lineRule="auto"/>
      </w:pPr>
      <w:r>
        <w:t xml:space="preserve">SCE recognizes that calibration is an essential component of the modeling process, and that choosing how the model is calibrated </w:t>
      </w:r>
      <w:r w:rsidR="001D5000">
        <w:t xml:space="preserve">will </w:t>
      </w:r>
      <w:r w:rsidR="00B95EF2">
        <w:t xml:space="preserve">significantly </w:t>
      </w:r>
      <w:r w:rsidR="00397FDC">
        <w:t>affect</w:t>
      </w:r>
      <w:r>
        <w:t xml:space="preserve"> the</w:t>
      </w:r>
      <w:r w:rsidR="00735CE3">
        <w:t xml:space="preserve"> modeling</w:t>
      </w:r>
      <w:r>
        <w:t xml:space="preserve"> results. </w:t>
      </w:r>
      <w:r w:rsidR="00B95EF2">
        <w:t xml:space="preserve">Currently, </w:t>
      </w:r>
      <w:r w:rsidR="00FC5EE7">
        <w:t>EE portfolio</w:t>
      </w:r>
      <w:r w:rsidR="00B95EF2">
        <w:t>s</w:t>
      </w:r>
      <w:r w:rsidR="006F2E99">
        <w:t xml:space="preserve"> are controlled by </w:t>
      </w:r>
      <w:r w:rsidR="00FC5EE7">
        <w:t>requiring the portfolio</w:t>
      </w:r>
      <w:r w:rsidR="00B95EF2">
        <w:t>s</w:t>
      </w:r>
      <w:r w:rsidR="00FC5EE7">
        <w:t xml:space="preserve"> to pass a Total Resource Cost (TRC) test.  This test compares the avoided costs associated with customers EE adoption to the associated program (Budgets) and customer </w:t>
      </w:r>
      <w:r w:rsidR="00B95EF2">
        <w:t xml:space="preserve">incremental measure </w:t>
      </w:r>
      <w:r w:rsidR="00FC5EE7">
        <w:t>costs (IMC).</w:t>
      </w:r>
      <w:r w:rsidR="006F2E99">
        <w:t xml:space="preserve"> </w:t>
      </w:r>
      <w:r w:rsidR="00FC5EE7">
        <w:t xml:space="preserve">The TRC test does not </w:t>
      </w:r>
      <w:r w:rsidR="006F2E99">
        <w:t xml:space="preserve">directly </w:t>
      </w:r>
      <w:r w:rsidR="00FC5EE7">
        <w:t>control program budget</w:t>
      </w:r>
      <w:r w:rsidR="00735CE3">
        <w:t>s, and EE</w:t>
      </w:r>
      <w:r w:rsidR="00B95EF2">
        <w:t xml:space="preserve"> program budgets are a small component of the TRC test.  The biggest influences on portfolio cost-effectiveness are Avoided Costs and IMC costs – Not program costs.</w:t>
      </w:r>
      <w:r w:rsidR="00FC5EE7">
        <w:t xml:space="preserve"> </w:t>
      </w:r>
    </w:p>
    <w:p w14:paraId="11B73940" w14:textId="77777777" w:rsidR="00B95EF2" w:rsidRDefault="00B95EF2" w:rsidP="00B95EF2">
      <w:pPr>
        <w:autoSpaceDE w:val="0"/>
        <w:autoSpaceDN w:val="0"/>
        <w:adjustRightInd w:val="0"/>
        <w:spacing w:before="7" w:after="0" w:line="240" w:lineRule="auto"/>
      </w:pPr>
    </w:p>
    <w:p w14:paraId="3D1BFCA7" w14:textId="77777777" w:rsidR="001F2B63" w:rsidRDefault="007822A4" w:rsidP="001F2B63">
      <w:pPr>
        <w:autoSpaceDE w:val="0"/>
        <w:autoSpaceDN w:val="0"/>
        <w:adjustRightInd w:val="0"/>
        <w:spacing w:after="0" w:line="240" w:lineRule="auto"/>
      </w:pPr>
      <w:r w:rsidRPr="007822A4">
        <w:t xml:space="preserve">SB 350 </w:t>
      </w:r>
      <w:r>
        <w:t xml:space="preserve">requires </w:t>
      </w:r>
      <w:r w:rsidRPr="007822A4">
        <w:t xml:space="preserve">the Public Utilities Commission </w:t>
      </w:r>
      <w:r>
        <w:t>to</w:t>
      </w:r>
      <w:r w:rsidRPr="007822A4">
        <w:t xml:space="preserve"> consider the results of energy efficiency potential studies that are not restricted by previous levels of utility energy efficiency savings.</w:t>
      </w:r>
      <w:r>
        <w:t xml:space="preserve">  This can be accomplished in more ways than simply changing the model calibration methodology.  Identifying barriers to capturing EE savings will help bound the uncertainty inherent </w:t>
      </w:r>
      <w:r w:rsidR="00CB5AC9">
        <w:t xml:space="preserve">in the forecasting process, and supply “what if” scenarios that </w:t>
      </w:r>
      <w:r w:rsidR="00CA34D9">
        <w:t>w</w:t>
      </w:r>
      <w:r w:rsidR="00CB5AC9">
        <w:t xml:space="preserve">ould </w:t>
      </w:r>
      <w:r w:rsidR="001F2B63">
        <w:t>explicitly account for changes to EE programs ability to capture savings</w:t>
      </w:r>
      <w:r w:rsidR="00CA34D9">
        <w:t xml:space="preserve">.  </w:t>
      </w:r>
      <w:r w:rsidR="00A95365">
        <w:t xml:space="preserve">These Scenario could then be used by Regulators, Policy Makers and EE </w:t>
      </w:r>
      <w:r w:rsidR="00BD59CF">
        <w:t>P</w:t>
      </w:r>
      <w:r w:rsidR="00A95365">
        <w:t>rogram</w:t>
      </w:r>
      <w:r w:rsidR="00BD59CF">
        <w:t xml:space="preserve"> </w:t>
      </w:r>
      <w:r w:rsidR="00CB5AC9">
        <w:t>Administrators</w:t>
      </w:r>
      <w:r w:rsidR="00A95365">
        <w:t xml:space="preserve"> to optimize an EE program </w:t>
      </w:r>
      <w:r w:rsidR="00BD59CF">
        <w:t xml:space="preserve">savings </w:t>
      </w:r>
      <w:r w:rsidR="00A95365">
        <w:t>goal</w:t>
      </w:r>
      <w:r w:rsidR="00BD59CF">
        <w:t xml:space="preserve">, and help assure the program goals are </w:t>
      </w:r>
      <w:r w:rsidR="00A95365">
        <w:t>reliable, feasible, and cost-effective.</w:t>
      </w:r>
    </w:p>
    <w:p w14:paraId="07242A2D" w14:textId="77777777" w:rsidR="00735CE3" w:rsidRDefault="00735CE3" w:rsidP="001F2B63">
      <w:pPr>
        <w:autoSpaceDE w:val="0"/>
        <w:autoSpaceDN w:val="0"/>
        <w:adjustRightInd w:val="0"/>
        <w:spacing w:after="0" w:line="240" w:lineRule="auto"/>
      </w:pPr>
    </w:p>
    <w:p w14:paraId="75B8798B" w14:textId="77777777" w:rsidR="00B95EF2" w:rsidRDefault="00B95EF2" w:rsidP="001F2B63">
      <w:pPr>
        <w:autoSpaceDE w:val="0"/>
        <w:autoSpaceDN w:val="0"/>
        <w:adjustRightInd w:val="0"/>
        <w:spacing w:after="0" w:line="240" w:lineRule="auto"/>
      </w:pPr>
      <w:r>
        <w:t xml:space="preserve">Significant changes to SCE EE Program cost structures are on the horizon and are already in process.  SCE strongly asserts that it is not reasonable to ground the PG Model to a significantly changing data structure (budgets) that will not provide the </w:t>
      </w:r>
      <w:r w:rsidRPr="00650238">
        <w:t>forecaster</w:t>
      </w:r>
      <w:r>
        <w:t xml:space="preserve"> or </w:t>
      </w:r>
      <w:r w:rsidRPr="00650238">
        <w:t xml:space="preserve">stakeholders with a </w:t>
      </w:r>
      <w:r>
        <w:t xml:space="preserve">high </w:t>
      </w:r>
      <w:r w:rsidRPr="00650238">
        <w:t>degree of confidence</w:t>
      </w:r>
      <w:r>
        <w:t xml:space="preserve">, </w:t>
      </w:r>
      <w:r w:rsidRPr="00650238">
        <w:t>reasonable</w:t>
      </w:r>
      <w:r>
        <w:t>ness, or provide</w:t>
      </w:r>
      <w:r w:rsidRPr="00650238">
        <w:t xml:space="preserve"> reliable</w:t>
      </w:r>
      <w:r>
        <w:t xml:space="preserve"> model output</w:t>
      </w:r>
      <w:r w:rsidRPr="00650238">
        <w:t>.</w:t>
      </w:r>
      <w:r>
        <w:t xml:space="preserve"> </w:t>
      </w:r>
    </w:p>
    <w:p w14:paraId="411BB265" w14:textId="77777777" w:rsidR="00B95EF2" w:rsidRDefault="00B95EF2" w:rsidP="00B95EF2">
      <w:pPr>
        <w:autoSpaceDE w:val="0"/>
        <w:autoSpaceDN w:val="0"/>
        <w:adjustRightInd w:val="0"/>
        <w:spacing w:after="0" w:line="240" w:lineRule="auto"/>
      </w:pPr>
    </w:p>
    <w:p w14:paraId="5E97B1EB" w14:textId="77777777" w:rsidR="00346599" w:rsidRDefault="00346599" w:rsidP="00346599">
      <w:pPr>
        <w:pStyle w:val="Heading2"/>
      </w:pPr>
      <w:r>
        <w:t>SCE’s Calibration Budget impacts:</w:t>
      </w:r>
    </w:p>
    <w:p w14:paraId="7C916D6B" w14:textId="1172B58D" w:rsidR="00346599" w:rsidRDefault="00346599" w:rsidP="0047128B">
      <w:r>
        <w:t>As noted in the Budget Trends section, SCE’s annual program spend is rapidly changing in both amounts and areas of concentration to balance competing priorities in an energy efficiency portfolio. SCE’s focus remains on meeting compliance obligations for portfolio wide TRC cost-effectiveness thresholds, GWh and MW goals. In order to meet these obligations there are three primary ways to meet the thresholds on a portfolio level.</w:t>
      </w:r>
    </w:p>
    <w:p w14:paraId="721F9508" w14:textId="77777777" w:rsidR="00346599" w:rsidRDefault="00346599" w:rsidP="0047128B">
      <w:pPr>
        <w:pStyle w:val="ListParagraph"/>
        <w:numPr>
          <w:ilvl w:val="0"/>
          <w:numId w:val="37"/>
        </w:numPr>
      </w:pPr>
      <w:r>
        <w:t xml:space="preserve">Concentrate on most cost-effective energy efficiency resources understanding there are EE adoption limitations outside of budgetary constraint; </w:t>
      </w:r>
    </w:p>
    <w:p w14:paraId="40A55B27" w14:textId="77777777" w:rsidR="00346599" w:rsidRDefault="00346599" w:rsidP="0047128B">
      <w:pPr>
        <w:pStyle w:val="ListParagraph"/>
        <w:numPr>
          <w:ilvl w:val="0"/>
          <w:numId w:val="37"/>
        </w:numPr>
      </w:pPr>
      <w:r>
        <w:t>Maximize cost-efficiency for offerings that may have attributes needed to meet portfolio Cost-effectiveness</w:t>
      </w:r>
      <w:r w:rsidR="00F641ED">
        <w:t xml:space="preserve"> or resource goals. For Example, </w:t>
      </w:r>
      <w:r>
        <w:t>kW rich measure but underperforming from a kWh cost perspective; and</w:t>
      </w:r>
    </w:p>
    <w:p w14:paraId="22A6BBC4" w14:textId="77777777" w:rsidR="00346599" w:rsidRDefault="00346599" w:rsidP="0047128B">
      <w:pPr>
        <w:pStyle w:val="ListParagraph"/>
        <w:numPr>
          <w:ilvl w:val="0"/>
          <w:numId w:val="37"/>
        </w:numPr>
      </w:pPr>
      <w:r>
        <w:t>Reduce ineffective offerings and portfolio costs.</w:t>
      </w:r>
    </w:p>
    <w:p w14:paraId="717E0473" w14:textId="77777777" w:rsidR="00EA68C8" w:rsidRPr="00C24C37" w:rsidRDefault="00EA68C8" w:rsidP="0047128B">
      <w:pPr>
        <w:ind w:left="720"/>
      </w:pPr>
      <w:r>
        <w:lastRenderedPageBreak/>
        <w:t xml:space="preserve">SCE has diligently pursued the maintenance of </w:t>
      </w:r>
      <w:r w:rsidR="00F31A49">
        <w:t>its</w:t>
      </w:r>
      <w:r>
        <w:t xml:space="preserve"> EE portfolio to meet its compliance obligations and support policy objectives. </w:t>
      </w:r>
      <w:r w:rsidR="00F31A49">
        <w:t xml:space="preserve">With </w:t>
      </w:r>
      <w:r w:rsidR="009E6454">
        <w:t xml:space="preserve">upcoming </w:t>
      </w:r>
      <w:r w:rsidR="00F31A49">
        <w:t>portfolio changes in administration</w:t>
      </w:r>
      <w:r w:rsidR="009E6454">
        <w:t>, historical budgets and approaches will further shift and may include new approaches</w:t>
      </w:r>
      <w:r w:rsidR="00F641ED">
        <w:t xml:space="preserve"> with varying levels of certainty of their performance</w:t>
      </w:r>
      <w:r w:rsidR="009E6454">
        <w:t>.</w:t>
      </w:r>
      <w:r w:rsidR="00F641ED">
        <w:t xml:space="preserve"> These certainties should be bounded by best available data, existing policy and potentially called out separately through scenarios.</w:t>
      </w:r>
      <w:r w:rsidR="009E6454">
        <w:t xml:space="preserve"> </w:t>
      </w:r>
    </w:p>
    <w:p w14:paraId="0367AB60" w14:textId="77777777" w:rsidR="0089077A" w:rsidRPr="00E92F01" w:rsidRDefault="007149DA" w:rsidP="007534CE">
      <w:pPr>
        <w:pStyle w:val="Heading1"/>
        <w:numPr>
          <w:ilvl w:val="0"/>
          <w:numId w:val="36"/>
        </w:numPr>
      </w:pPr>
      <w:r w:rsidRPr="00E92F01">
        <w:t>Scenarios</w:t>
      </w:r>
    </w:p>
    <w:p w14:paraId="3B263A4C" w14:textId="77777777" w:rsidR="001F2B63" w:rsidRDefault="001F2B63" w:rsidP="00C432B5">
      <w:r>
        <w:t xml:space="preserve">With the emergence of Senate Bill (SB) 350, and Assembly Bills (AB) 802, 793 and 758, EE programs have been thrust into a rapidly changing environment.  Many of these programs are being retooled or will be newly introduce energy savings measures into the marketplace.  For example, EE programs have been tasked with doubling the efficiency of existing buildings, capturing below code savings, reintroducing the retrocommissioning programs, increasing savings from behavior programs, and introducing operational efficiency programs.  </w:t>
      </w:r>
      <w:r w:rsidR="00633177">
        <w:t xml:space="preserve">Little usable historical program information and even smaller amounts of research </w:t>
      </w:r>
      <w:r>
        <w:t>are</w:t>
      </w:r>
      <w:r w:rsidR="00BD59CF">
        <w:t xml:space="preserve"> </w:t>
      </w:r>
      <w:r w:rsidR="00633177">
        <w:t>available to reliably estim</w:t>
      </w:r>
      <w:r w:rsidR="00397FDC">
        <w:t>ate the program ability to cost-</w:t>
      </w:r>
      <w:r w:rsidR="00633177">
        <w:t>effectively capture savings</w:t>
      </w:r>
      <w:r>
        <w:t>.</w:t>
      </w:r>
    </w:p>
    <w:p w14:paraId="449746D5" w14:textId="77777777" w:rsidR="00341E0E" w:rsidRDefault="00C432B5" w:rsidP="00CB5AC9">
      <w:r>
        <w:t xml:space="preserve">Inherent in all the aforementioned items are </w:t>
      </w:r>
      <w:r w:rsidR="00633177">
        <w:t>significant sources of uncertainty that impact EE program goal reasonableness, attainability, and feasibility.</w:t>
      </w:r>
      <w:r>
        <w:t xml:space="preserve"> </w:t>
      </w:r>
      <w:r w:rsidR="00BD59CF">
        <w:t xml:space="preserve">Accounting for modeling uncertainty in the Scenario methodology </w:t>
      </w:r>
      <w:r w:rsidR="00341E0E">
        <w:t>would</w:t>
      </w:r>
      <w:r w:rsidR="00BD59CF">
        <w:t xml:space="preserve"> yield alternatives designed bound the </w:t>
      </w:r>
      <w:r w:rsidR="00CB5AC9">
        <w:t>realm of the possible (</w:t>
      </w:r>
      <w:r w:rsidR="001F2B63">
        <w:t xml:space="preserve">Ex., </w:t>
      </w:r>
      <w:r w:rsidR="00CB5AC9">
        <w:t xml:space="preserve">High, Med, Low) saving impacts </w:t>
      </w:r>
      <w:r w:rsidR="00BD59CF">
        <w:t>found in E</w:t>
      </w:r>
      <w:r w:rsidR="00341E0E">
        <w:t>E rapidly changing environments</w:t>
      </w:r>
      <w:r w:rsidR="00CB5AC9">
        <w:t xml:space="preserve">.  </w:t>
      </w:r>
    </w:p>
    <w:p w14:paraId="7A852F52" w14:textId="77777777" w:rsidR="00107073" w:rsidRDefault="00B07DC1" w:rsidP="00CA34D9">
      <w:pPr>
        <w:autoSpaceDE w:val="0"/>
        <w:autoSpaceDN w:val="0"/>
        <w:adjustRightInd w:val="0"/>
        <w:spacing w:after="0" w:line="240" w:lineRule="auto"/>
      </w:pPr>
      <w:r>
        <w:t>Once scenarios are properly constructed and model uncertainty</w:t>
      </w:r>
      <w:r w:rsidR="00CA34D9">
        <w:t xml:space="preserve">, program limitations, barriers to program adoption, etc. are explicitly </w:t>
      </w:r>
      <w:r>
        <w:t>accounted for</w:t>
      </w:r>
      <w:r w:rsidR="00CA34D9">
        <w:t>,</w:t>
      </w:r>
      <w:r>
        <w:t xml:space="preserve"> the model output </w:t>
      </w:r>
      <w:r w:rsidR="00CA34D9">
        <w:t xml:space="preserve">could then be used to optimize EE program savings goals </w:t>
      </w:r>
      <w:r w:rsidR="00107073">
        <w:t>and assure EE program goals are reliable, feasible and cost-effective.</w:t>
      </w:r>
    </w:p>
    <w:p w14:paraId="627543BD" w14:textId="77777777" w:rsidR="00107073" w:rsidRDefault="00107073" w:rsidP="00CA34D9">
      <w:pPr>
        <w:autoSpaceDE w:val="0"/>
        <w:autoSpaceDN w:val="0"/>
        <w:adjustRightInd w:val="0"/>
        <w:spacing w:after="0" w:line="240" w:lineRule="auto"/>
      </w:pPr>
    </w:p>
    <w:p w14:paraId="47B499AE" w14:textId="77777777" w:rsidR="00341E0E" w:rsidRPr="00720424" w:rsidRDefault="00341E0E" w:rsidP="000D673E">
      <w:pPr>
        <w:autoSpaceDE w:val="0"/>
        <w:autoSpaceDN w:val="0"/>
        <w:adjustRightInd w:val="0"/>
        <w:spacing w:before="3" w:after="0" w:line="240" w:lineRule="auto"/>
        <w:rPr>
          <w:rFonts w:ascii="Arial" w:hAnsi="Arial" w:cs="Arial"/>
          <w:color w:val="000000"/>
        </w:rPr>
      </w:pPr>
    </w:p>
    <w:p w14:paraId="767870E3" w14:textId="77777777" w:rsidR="00341E0E" w:rsidRPr="007149DA" w:rsidRDefault="00B146CF" w:rsidP="00341E0E">
      <w:pPr>
        <w:pStyle w:val="Heading3"/>
        <w:rPr>
          <w:rFonts w:asciiTheme="minorHAnsi" w:hAnsiTheme="minorHAnsi" w:cstheme="minorBidi"/>
          <w:sz w:val="22"/>
          <w:szCs w:val="22"/>
        </w:rPr>
      </w:pPr>
      <w:r>
        <w:t xml:space="preserve">Scenarios - </w:t>
      </w:r>
      <w:r w:rsidR="00341E0E">
        <w:t xml:space="preserve">Historical </w:t>
      </w:r>
      <w:r>
        <w:t>View</w:t>
      </w:r>
    </w:p>
    <w:p w14:paraId="058FBC04" w14:textId="77777777" w:rsidR="00107073" w:rsidRDefault="00341E0E" w:rsidP="00341E0E">
      <w:pPr>
        <w:autoSpaceDE w:val="0"/>
        <w:autoSpaceDN w:val="0"/>
        <w:adjustRightInd w:val="0"/>
        <w:spacing w:before="3" w:after="0" w:line="240" w:lineRule="auto"/>
      </w:pPr>
      <w:r>
        <w:t xml:space="preserve">Historically, </w:t>
      </w:r>
      <w:r w:rsidR="00B07DC1" w:rsidRPr="002765CD">
        <w:t>EE Potential and Goals studies have been reflective of CPUC policy and program direction</w:t>
      </w:r>
      <w:r w:rsidR="00B07DC1">
        <w:t xml:space="preserve">.  </w:t>
      </w:r>
      <w:r>
        <w:t xml:space="preserve">EE Program </w:t>
      </w:r>
      <w:r w:rsidRPr="000D673E">
        <w:t xml:space="preserve">Goals </w:t>
      </w:r>
      <w:r>
        <w:t xml:space="preserve">have been </w:t>
      </w:r>
      <w:r w:rsidRPr="000D673E">
        <w:t xml:space="preserve">informed by </w:t>
      </w:r>
      <w:r>
        <w:t xml:space="preserve">a midlevel EE Potential </w:t>
      </w:r>
      <w:r w:rsidRPr="000D673E">
        <w:t xml:space="preserve">forecast calibrated to historic </w:t>
      </w:r>
      <w:r>
        <w:t xml:space="preserve">EE </w:t>
      </w:r>
      <w:r w:rsidRPr="000D673E">
        <w:t xml:space="preserve">program </w:t>
      </w:r>
      <w:r>
        <w:t xml:space="preserve">savings </w:t>
      </w:r>
      <w:r w:rsidRPr="000D673E">
        <w:t>activity</w:t>
      </w:r>
      <w:r w:rsidR="00397FDC">
        <w:t xml:space="preserve">. Model scenarios focused on changing the measure level adoptions/savings, cost-effectiveness, and savings attribution (EE Program vs. C&amp;S) as a proxy for estimating </w:t>
      </w:r>
      <w:r w:rsidR="00397FDC" w:rsidRPr="008965B7">
        <w:t>the effects on the program administrators’ ability to capture the savings.</w:t>
      </w:r>
      <w:r w:rsidR="00397FDC">
        <w:t xml:space="preserve">  These </w:t>
      </w:r>
      <w:r>
        <w:t>concept</w:t>
      </w:r>
      <w:r w:rsidR="00397FDC">
        <w:t>s</w:t>
      </w:r>
      <w:r>
        <w:t xml:space="preserve"> work</w:t>
      </w:r>
      <w:r w:rsidR="00397FDC">
        <w:t>ed</w:t>
      </w:r>
      <w:r>
        <w:t xml:space="preserve"> well as long as the EE programs operated in a placid and slow changing environment.  </w:t>
      </w:r>
    </w:p>
    <w:p w14:paraId="762C8931" w14:textId="77777777" w:rsidR="00397FDC" w:rsidRDefault="00397FDC" w:rsidP="00341E0E">
      <w:pPr>
        <w:autoSpaceDE w:val="0"/>
        <w:autoSpaceDN w:val="0"/>
        <w:adjustRightInd w:val="0"/>
        <w:spacing w:before="3" w:after="0" w:line="240" w:lineRule="auto"/>
      </w:pPr>
    </w:p>
    <w:p w14:paraId="25980F4B" w14:textId="77777777" w:rsidR="008F00FB" w:rsidRDefault="008F00FB" w:rsidP="008F00FB">
      <w:pPr>
        <w:autoSpaceDE w:val="0"/>
        <w:autoSpaceDN w:val="0"/>
        <w:adjustRightInd w:val="0"/>
        <w:spacing w:before="3" w:after="0" w:line="240" w:lineRule="auto"/>
      </w:pPr>
      <w:r>
        <w:t xml:space="preserve">Although EE Potential models provided alternative scenarios, these scenario </w:t>
      </w:r>
      <w:r w:rsidR="00CE16D9">
        <w:t xml:space="preserve">were </w:t>
      </w:r>
      <w:r w:rsidR="006E0DE6">
        <w:t>mainly</w:t>
      </w:r>
      <w:r>
        <w:t xml:space="preserve"> used by the CEC to inform</w:t>
      </w:r>
      <w:r w:rsidRPr="000D673E">
        <w:t xml:space="preserve"> the </w:t>
      </w:r>
      <w:r w:rsidR="00177CA6">
        <w:t>AAEE portion of the 2015 California Energy Demand forecast</w:t>
      </w:r>
      <w:r>
        <w:t xml:space="preserve">.  </w:t>
      </w:r>
      <w:r w:rsidR="007168DA">
        <w:t xml:space="preserve">The AAEE scenario adjustments, denoted in the table below, </w:t>
      </w:r>
      <w:r w:rsidR="00177CA6">
        <w:t xml:space="preserve">focused of factors effecting Codes and Standard (C&amp;S) and EE Program savings.  </w:t>
      </w:r>
    </w:p>
    <w:p w14:paraId="558F78B3" w14:textId="77777777" w:rsidR="008F00FB" w:rsidRDefault="008F00FB" w:rsidP="008F00FB">
      <w:pPr>
        <w:autoSpaceDE w:val="0"/>
        <w:autoSpaceDN w:val="0"/>
        <w:adjustRightInd w:val="0"/>
        <w:spacing w:before="3" w:after="0" w:line="240" w:lineRule="auto"/>
      </w:pPr>
    </w:p>
    <w:p w14:paraId="7C165DAA" w14:textId="77777777" w:rsidR="008F00FB" w:rsidRDefault="007168DA" w:rsidP="00341E0E">
      <w:pPr>
        <w:autoSpaceDE w:val="0"/>
        <w:autoSpaceDN w:val="0"/>
        <w:adjustRightInd w:val="0"/>
        <w:spacing w:before="3" w:after="0" w:line="240" w:lineRule="auto"/>
      </w:pPr>
      <w:r>
        <w:rPr>
          <w:noProof/>
        </w:rPr>
        <w:lastRenderedPageBreak/>
        <w:drawing>
          <wp:inline distT="0" distB="0" distL="0" distR="0" wp14:anchorId="5D7E40F4" wp14:editId="4F8EAB14">
            <wp:extent cx="5943600" cy="3338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3338195"/>
                    </a:xfrm>
                    <a:prstGeom prst="rect">
                      <a:avLst/>
                    </a:prstGeom>
                  </pic:spPr>
                </pic:pic>
              </a:graphicData>
            </a:graphic>
          </wp:inline>
        </w:drawing>
      </w:r>
    </w:p>
    <w:p w14:paraId="01143F85" w14:textId="77777777" w:rsidR="00E00D7F" w:rsidRDefault="00E00D7F" w:rsidP="00341E0E">
      <w:pPr>
        <w:autoSpaceDE w:val="0"/>
        <w:autoSpaceDN w:val="0"/>
        <w:adjustRightInd w:val="0"/>
        <w:spacing w:before="3" w:after="0" w:line="240" w:lineRule="auto"/>
      </w:pPr>
    </w:p>
    <w:p w14:paraId="00D56F11" w14:textId="77777777" w:rsidR="00E00D7F" w:rsidRDefault="00E00D7F" w:rsidP="00341E0E">
      <w:pPr>
        <w:autoSpaceDE w:val="0"/>
        <w:autoSpaceDN w:val="0"/>
        <w:adjustRightInd w:val="0"/>
        <w:spacing w:before="3" w:after="0" w:line="240" w:lineRule="auto"/>
      </w:pPr>
      <w:r>
        <w:t xml:space="preserve">C&amp;S scenario adjustments focused </w:t>
      </w:r>
      <w:r w:rsidR="008B18BB">
        <w:t xml:space="preserve">mainly </w:t>
      </w:r>
      <w:r>
        <w:t>on compliance rates, T24/T20/Fed C&amp;S adoptions forecasts, etc.  EE program adjustments focused on cost-effectiveness (avoided costs, incremental cost, incentive, and TRC), emerging technology adoption</w:t>
      </w:r>
      <w:r w:rsidR="008B18BB">
        <w:t xml:space="preserve"> (a major source of forecast uncertainty)</w:t>
      </w:r>
      <w:r>
        <w:t>,</w:t>
      </w:r>
      <w:r w:rsidR="00B07DC1">
        <w:t xml:space="preserve"> unit energy savings (UES), and</w:t>
      </w:r>
      <w:r>
        <w:t xml:space="preserve"> marketing and word of mouth effects on measure adoption. </w:t>
      </w:r>
    </w:p>
    <w:p w14:paraId="171296ED" w14:textId="77777777" w:rsidR="009A430C" w:rsidRDefault="009A430C" w:rsidP="00341E0E">
      <w:pPr>
        <w:autoSpaceDE w:val="0"/>
        <w:autoSpaceDN w:val="0"/>
        <w:adjustRightInd w:val="0"/>
        <w:spacing w:before="3" w:after="0" w:line="240" w:lineRule="auto"/>
      </w:pPr>
    </w:p>
    <w:p w14:paraId="3F34C678" w14:textId="77777777" w:rsidR="007C2191" w:rsidRDefault="00065139" w:rsidP="00341E0E">
      <w:pPr>
        <w:autoSpaceDE w:val="0"/>
        <w:autoSpaceDN w:val="0"/>
        <w:adjustRightInd w:val="0"/>
        <w:spacing w:before="3" w:after="0" w:line="240" w:lineRule="auto"/>
      </w:pPr>
      <w:r>
        <w:t>The aforementioned Scenarios were designed to address forecast uncertainty</w:t>
      </w:r>
      <w:r w:rsidR="00860A56">
        <w:t>, and the methodology deployed did an admirable job given that t</w:t>
      </w:r>
      <w:r w:rsidR="007C2191">
        <w:t xml:space="preserve">he CEC could not realistically </w:t>
      </w:r>
      <w:r>
        <w:t>foresee</w:t>
      </w:r>
      <w:r w:rsidR="007C2191">
        <w:t xml:space="preserve"> the significant legislative </w:t>
      </w:r>
      <w:r>
        <w:t>mandates</w:t>
      </w:r>
      <w:r w:rsidR="007C2191">
        <w:t xml:space="preserve"> </w:t>
      </w:r>
      <w:r>
        <w:t>passed</w:t>
      </w:r>
      <w:r w:rsidR="007C2191">
        <w:t xml:space="preserve"> into law </w:t>
      </w:r>
      <w:r>
        <w:t xml:space="preserve">during the 2015 IEPR and 2016 IEPR Update process.  </w:t>
      </w:r>
    </w:p>
    <w:p w14:paraId="66AEB5E8" w14:textId="77777777" w:rsidR="007C2191" w:rsidRDefault="007C2191" w:rsidP="00341E0E">
      <w:pPr>
        <w:autoSpaceDE w:val="0"/>
        <w:autoSpaceDN w:val="0"/>
        <w:adjustRightInd w:val="0"/>
        <w:spacing w:before="3" w:after="0" w:line="240" w:lineRule="auto"/>
      </w:pPr>
    </w:p>
    <w:p w14:paraId="57857260" w14:textId="5D12BDC9" w:rsidR="0061147E" w:rsidRDefault="00860A56" w:rsidP="00B07DC1">
      <w:pPr>
        <w:autoSpaceDE w:val="0"/>
        <w:autoSpaceDN w:val="0"/>
        <w:adjustRightInd w:val="0"/>
        <w:spacing w:before="3" w:after="0" w:line="240" w:lineRule="auto"/>
      </w:pPr>
      <w:r>
        <w:t>It is important to note that</w:t>
      </w:r>
      <w:r w:rsidR="004E2F91">
        <w:t xml:space="preserve"> the CEC</w:t>
      </w:r>
      <w:r>
        <w:t xml:space="preserve"> </w:t>
      </w:r>
      <w:r w:rsidR="004E2F91">
        <w:t xml:space="preserve">C&amp;S and EE </w:t>
      </w:r>
      <w:r w:rsidR="00E00D7F">
        <w:t xml:space="preserve">scenario adjustment are not mutually exclusive.  When </w:t>
      </w:r>
      <w:r w:rsidR="009A430C">
        <w:t xml:space="preserve">savings </w:t>
      </w:r>
      <w:r w:rsidR="00E00D7F">
        <w:t>are adopted into C&amp;S, those EE savings can no longer be c</w:t>
      </w:r>
      <w:r w:rsidR="00B146CF">
        <w:t xml:space="preserve">laimed by above code EE program savings.  </w:t>
      </w:r>
      <w:r w:rsidR="00397FDC">
        <w:t>Addressing this changes</w:t>
      </w:r>
      <w:r w:rsidR="00BE61F6">
        <w:t xml:space="preserve"> was a simple </w:t>
      </w:r>
      <w:r w:rsidR="004E2F91">
        <w:t xml:space="preserve">accounting issue.  When EE </w:t>
      </w:r>
      <w:r w:rsidR="006B77E5">
        <w:t xml:space="preserve">measure </w:t>
      </w:r>
      <w:r w:rsidR="004E2F91">
        <w:t>savings become Code, EE savings w</w:t>
      </w:r>
      <w:r w:rsidR="006A3730">
        <w:t>ere</w:t>
      </w:r>
      <w:r w:rsidR="004E2F91">
        <w:t xml:space="preserve"> then</w:t>
      </w:r>
      <w:r w:rsidR="001F2B63">
        <w:t xml:space="preserve"> moved or </w:t>
      </w:r>
      <w:r w:rsidR="004E2F91">
        <w:t xml:space="preserve">attributed to </w:t>
      </w:r>
      <w:r w:rsidR="00BE61F6">
        <w:t>Codes and Standards</w:t>
      </w:r>
      <w:r w:rsidR="001F2B63">
        <w:t xml:space="preserve"> savings</w:t>
      </w:r>
      <w:r w:rsidR="00E00D7F">
        <w:t xml:space="preserve">.  </w:t>
      </w:r>
      <w:r w:rsidR="009A430C">
        <w:t xml:space="preserve">This is the long standing </w:t>
      </w:r>
      <w:r>
        <w:t>symbiotic</w:t>
      </w:r>
      <w:r w:rsidR="009A430C">
        <w:t xml:space="preserve"> relationship between C&amp;S and EE programs.  </w:t>
      </w:r>
    </w:p>
    <w:p w14:paraId="3581B8B3" w14:textId="77777777" w:rsidR="00BE61F6" w:rsidRDefault="00BE61F6" w:rsidP="00860A56">
      <w:pPr>
        <w:autoSpaceDE w:val="0"/>
        <w:autoSpaceDN w:val="0"/>
        <w:adjustRightInd w:val="0"/>
        <w:spacing w:before="3" w:after="0" w:line="240" w:lineRule="auto"/>
      </w:pPr>
    </w:p>
    <w:p w14:paraId="4C976D1D" w14:textId="63B5BA68" w:rsidR="009E6454" w:rsidRDefault="0047128B" w:rsidP="00972806">
      <w:pPr>
        <w:autoSpaceDE w:val="0"/>
        <w:autoSpaceDN w:val="0"/>
        <w:adjustRightInd w:val="0"/>
        <w:spacing w:after="0" w:line="240" w:lineRule="auto"/>
      </w:pPr>
      <w:r w:rsidRPr="00972806">
        <w:t xml:space="preserve">The </w:t>
      </w:r>
      <w:r w:rsidR="00E5469F">
        <w:t>CEC</w:t>
      </w:r>
      <w:r w:rsidRPr="00972806">
        <w:t xml:space="preserve"> is the state’s energy policy and planning agency, whose</w:t>
      </w:r>
      <w:r w:rsidRPr="00972806">
        <w:t xml:space="preserve"> </w:t>
      </w:r>
      <w:r w:rsidRPr="00972806">
        <w:t>electricity demand forecast establish</w:t>
      </w:r>
      <w:r w:rsidR="00E5469F">
        <w:t>es</w:t>
      </w:r>
      <w:r w:rsidRPr="00972806">
        <w:t xml:space="preserve"> annual targets for</w:t>
      </w:r>
      <w:r w:rsidRPr="00972806">
        <w:t xml:space="preserve"> </w:t>
      </w:r>
      <w:r w:rsidRPr="00972806">
        <w:t>statewide energy efficiency savings and demand reduction that will achieve a cumulative</w:t>
      </w:r>
      <w:r w:rsidRPr="00972806">
        <w:t xml:space="preserve"> </w:t>
      </w:r>
      <w:r w:rsidRPr="00972806">
        <w:t>doubling of statewide energy efficiency savings by January 1, 2030.</w:t>
      </w:r>
      <w:r w:rsidR="00976AB7">
        <w:t xml:space="preserve">  The CEC has defined the doubling </w:t>
      </w:r>
      <w:r w:rsidR="001F2B63">
        <w:t xml:space="preserve">of efficiency </w:t>
      </w:r>
      <w:r w:rsidR="00976AB7">
        <w:t xml:space="preserve">to mean the doubling of </w:t>
      </w:r>
      <w:r w:rsidR="001F2B63">
        <w:t>the CEC’s</w:t>
      </w:r>
      <w:r w:rsidR="00976AB7">
        <w:t xml:space="preserve"> AAEE forecast</w:t>
      </w:r>
      <w:r w:rsidR="00C447D1">
        <w:rPr>
          <w:rStyle w:val="FootnoteReference"/>
        </w:rPr>
        <w:footnoteReference w:id="4"/>
      </w:r>
      <w:r w:rsidR="00976AB7">
        <w:t xml:space="preserve">.  </w:t>
      </w:r>
      <w:r w:rsidR="00BE61F6">
        <w:t>The AAE</w:t>
      </w:r>
      <w:r w:rsidR="00E715EE">
        <w:t xml:space="preserve">E forecast contains both EE, </w:t>
      </w:r>
      <w:r w:rsidR="00BE61F6">
        <w:t>and C&amp;S savings.  Referencing the pie chart below</w:t>
      </w:r>
      <w:r w:rsidR="00976AB7">
        <w:t xml:space="preserve"> nearly 40% of AAEE is </w:t>
      </w:r>
      <w:r w:rsidR="00BE61F6">
        <w:t>comprised of Code and Standards</w:t>
      </w:r>
      <w:r w:rsidR="00976AB7">
        <w:t xml:space="preserve">.  </w:t>
      </w:r>
    </w:p>
    <w:p w14:paraId="6841D350" w14:textId="77777777" w:rsidR="00BE61F6" w:rsidRDefault="00BE61F6" w:rsidP="00972806">
      <w:pPr>
        <w:autoSpaceDE w:val="0"/>
        <w:autoSpaceDN w:val="0"/>
        <w:adjustRightInd w:val="0"/>
        <w:spacing w:before="3" w:after="0" w:line="240" w:lineRule="auto"/>
        <w:ind w:left="1980"/>
      </w:pPr>
      <w:r w:rsidRPr="00B97190">
        <w:rPr>
          <w:noProof/>
        </w:rPr>
        <w:lastRenderedPageBreak/>
        <w:drawing>
          <wp:inline distT="0" distB="0" distL="0" distR="0" wp14:anchorId="2F460152" wp14:editId="2BAD8593">
            <wp:extent cx="4038600" cy="2430145"/>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38600" cy="2430145"/>
                    </a:xfrm>
                    <a:prstGeom prst="rect">
                      <a:avLst/>
                    </a:prstGeom>
                    <a:noFill/>
                    <a:ln>
                      <a:noFill/>
                    </a:ln>
                  </pic:spPr>
                </pic:pic>
              </a:graphicData>
            </a:graphic>
          </wp:inline>
        </w:drawing>
      </w:r>
    </w:p>
    <w:p w14:paraId="4054A5D7" w14:textId="77777777" w:rsidR="00BE61F6" w:rsidRDefault="00BE61F6" w:rsidP="00860A56">
      <w:pPr>
        <w:autoSpaceDE w:val="0"/>
        <w:autoSpaceDN w:val="0"/>
        <w:adjustRightInd w:val="0"/>
        <w:spacing w:before="3" w:after="0" w:line="240" w:lineRule="auto"/>
      </w:pPr>
    </w:p>
    <w:p w14:paraId="0A6AF3AA" w14:textId="57BF36A2" w:rsidR="00A66CAA" w:rsidRDefault="00BE61F6" w:rsidP="00860A56">
      <w:pPr>
        <w:autoSpaceDE w:val="0"/>
        <w:autoSpaceDN w:val="0"/>
        <w:adjustRightInd w:val="0"/>
        <w:spacing w:before="3" w:after="0" w:line="240" w:lineRule="auto"/>
      </w:pPr>
      <w:r>
        <w:t>Doubling of efficiency is not as simple as it seems.  Upon further thought, s</w:t>
      </w:r>
      <w:r w:rsidR="006A6FA4">
        <w:t xml:space="preserve">imply increasing C&amp;S mandates or simply capturing additional </w:t>
      </w:r>
      <w:r w:rsidR="00E715EE">
        <w:t>EE savings</w:t>
      </w:r>
      <w:r w:rsidR="006A6FA4">
        <w:t xml:space="preserve"> only adjusts the attribution of savings from C&amp;S to EE programs o</w:t>
      </w:r>
      <w:r w:rsidR="006A3730">
        <w:t>r</w:t>
      </w:r>
      <w:r w:rsidR="006A6FA4">
        <w:t xml:space="preserve"> visa</w:t>
      </w:r>
      <w:r w:rsidR="00976AB7">
        <w:t xml:space="preserve"> </w:t>
      </w:r>
      <w:r w:rsidR="006A6FA4">
        <w:t>versa</w:t>
      </w:r>
      <w:r w:rsidR="006A3730">
        <w:t>,</w:t>
      </w:r>
      <w:r w:rsidR="006A6FA4">
        <w:t xml:space="preserve"> and does not expand the size of the cumulative efficiency pie.  </w:t>
      </w:r>
      <w:r w:rsidR="00A66CAA">
        <w:t xml:space="preserve">For example, if EE Programs capture below code savings, the savings once assumed attributed to C&amp;S are switched to be </w:t>
      </w:r>
      <w:r w:rsidR="00971BCD">
        <w:t>attributed</w:t>
      </w:r>
      <w:r w:rsidR="00A66CAA">
        <w:t xml:space="preserve"> to EE Programs.</w:t>
      </w:r>
      <w:r w:rsidR="009E6454">
        <w:t xml:space="preserve"> In effect, if 5% of savings were to be considered below-code then C&amp;S would shrink</w:t>
      </w:r>
      <w:r w:rsidR="006B77E5">
        <w:t xml:space="preserve"> by 5%</w:t>
      </w:r>
      <w:r w:rsidR="009E6454">
        <w:t xml:space="preserve"> and EE would grow </w:t>
      </w:r>
      <w:r w:rsidR="006B77E5">
        <w:t>by 5%</w:t>
      </w:r>
      <w:r w:rsidR="009E6454">
        <w:t>, it would not increase the total savings to 105%. A further note about below code savings</w:t>
      </w:r>
      <w:r w:rsidR="003753B9">
        <w:t xml:space="preserve"> is that they </w:t>
      </w:r>
      <w:r w:rsidR="009E6454">
        <w:t xml:space="preserve">also </w:t>
      </w:r>
      <w:r w:rsidR="003753B9">
        <w:t>have</w:t>
      </w:r>
      <w:r w:rsidR="009E6454">
        <w:t xml:space="preserve"> some inherent challenges from an EE programmatic perspective</w:t>
      </w:r>
      <w:r w:rsidR="003753B9">
        <w:t>. Below code savings</w:t>
      </w:r>
      <w:r w:rsidR="006B77E5">
        <w:t xml:space="preserve"> cost-effectiveness tests</w:t>
      </w:r>
      <w:r w:rsidR="003753B9">
        <w:t xml:space="preserve"> are</w:t>
      </w:r>
      <w:r w:rsidR="009E6454">
        <w:t xml:space="preserve"> burdened by </w:t>
      </w:r>
      <w:r w:rsidR="006B77E5">
        <w:t xml:space="preserve">requiring the use of </w:t>
      </w:r>
      <w:r w:rsidR="009E6454">
        <w:t>full measure cost</w:t>
      </w:r>
      <w:r w:rsidR="003753B9">
        <w:t>,</w:t>
      </w:r>
      <w:r w:rsidR="009E6454">
        <w:t xml:space="preserve"> as opposed to incremental measure cost </w:t>
      </w:r>
      <w:r w:rsidR="006B77E5">
        <w:t>in above code applications.  This can be referenced by the very low cost-effectiveness results for Energy Upgrade California (EUCA) program</w:t>
      </w:r>
      <w:r w:rsidR="003753B9">
        <w:t xml:space="preserve">. Additionally, there is further </w:t>
      </w:r>
      <w:r w:rsidR="009E6454">
        <w:t xml:space="preserve">uncertainty in the </w:t>
      </w:r>
      <w:r w:rsidR="003753B9">
        <w:t xml:space="preserve">attribution of the EE program when comparing measures in “grey area” of being beyond their DEER rated useful life but still in operation. These limitations from a cost-effective programmatic offering may further impact the achievable potential that Codes and Standards may have claimed in the previous policy environment. </w:t>
      </w:r>
    </w:p>
    <w:p w14:paraId="441269F8" w14:textId="77777777" w:rsidR="00BE61F6" w:rsidRDefault="00BE61F6" w:rsidP="00860A56">
      <w:pPr>
        <w:autoSpaceDE w:val="0"/>
        <w:autoSpaceDN w:val="0"/>
        <w:adjustRightInd w:val="0"/>
        <w:spacing w:before="3" w:after="0" w:line="240" w:lineRule="auto"/>
      </w:pPr>
    </w:p>
    <w:p w14:paraId="11782531" w14:textId="0416C137" w:rsidR="006A6FA4" w:rsidRDefault="006A6FA4" w:rsidP="00A66CAA">
      <w:pPr>
        <w:autoSpaceDE w:val="0"/>
        <w:autoSpaceDN w:val="0"/>
        <w:adjustRightInd w:val="0"/>
        <w:spacing w:before="3" w:after="0" w:line="240" w:lineRule="auto"/>
      </w:pPr>
      <w:r>
        <w:t xml:space="preserve">Expanding the size of the </w:t>
      </w:r>
      <w:r w:rsidR="00A66CAA">
        <w:t xml:space="preserve">proverbial </w:t>
      </w:r>
      <w:r>
        <w:t>pie requires new measure</w:t>
      </w:r>
      <w:r w:rsidR="006A3730">
        <w:t xml:space="preserve"> or program</w:t>
      </w:r>
      <w:r w:rsidR="00971BCD">
        <w:t xml:space="preserve"> offering</w:t>
      </w:r>
      <w:r w:rsidR="006A3730">
        <w:t>s</w:t>
      </w:r>
      <w:r w:rsidR="00971BCD">
        <w:t xml:space="preserve"> (denoted on the graphic above)</w:t>
      </w:r>
      <w:r>
        <w:t xml:space="preserve">.  AB802 </w:t>
      </w:r>
      <w:r w:rsidR="009E6454">
        <w:t xml:space="preserve">enables </w:t>
      </w:r>
      <w:r w:rsidR="00971BCD">
        <w:t>Behavior</w:t>
      </w:r>
      <w:r>
        <w:t>, Retro</w:t>
      </w:r>
      <w:r w:rsidR="009E6454">
        <w:t>-</w:t>
      </w:r>
      <w:r>
        <w:t xml:space="preserve">commissioning, and </w:t>
      </w:r>
      <w:r w:rsidR="00D57F68">
        <w:t>O</w:t>
      </w:r>
      <w:r>
        <w:t>peration</w:t>
      </w:r>
      <w:r w:rsidR="00BE61F6">
        <w:t>al</w:t>
      </w:r>
      <w:r>
        <w:t xml:space="preserve"> </w:t>
      </w:r>
      <w:r w:rsidR="00971BCD">
        <w:t xml:space="preserve">(BROs) </w:t>
      </w:r>
      <w:r>
        <w:t>savings.</w:t>
      </w:r>
      <w:r w:rsidR="00D57F68">
        <w:t xml:space="preserve"> </w:t>
      </w:r>
      <w:r w:rsidR="00971BCD">
        <w:t xml:space="preserve"> </w:t>
      </w:r>
      <w:r w:rsidR="006A3730">
        <w:t xml:space="preserve">Capturing </w:t>
      </w:r>
      <w:r w:rsidR="00971BCD">
        <w:t>BRO</w:t>
      </w:r>
      <w:r w:rsidR="00BE61F6">
        <w:t>s</w:t>
      </w:r>
      <w:r w:rsidR="00971BCD">
        <w:t xml:space="preserve"> savings will </w:t>
      </w:r>
      <w:r w:rsidR="006A3730">
        <w:t xml:space="preserve">require EE programs to </w:t>
      </w:r>
      <w:r w:rsidR="00971BCD">
        <w:t>be expanded</w:t>
      </w:r>
      <w:r w:rsidR="006A3730">
        <w:t xml:space="preserve"> or </w:t>
      </w:r>
      <w:r w:rsidR="00971BCD">
        <w:t>retooled</w:t>
      </w:r>
      <w:r w:rsidR="009E6454">
        <w:t xml:space="preserve"> and require portfolios to manage the uncertainty with new programs</w:t>
      </w:r>
      <w:r w:rsidR="006A3730">
        <w:t xml:space="preserve">.  BROs savings </w:t>
      </w:r>
      <w:r w:rsidR="00971BCD">
        <w:t xml:space="preserve">will represent new program offering which </w:t>
      </w:r>
      <w:r w:rsidR="009E6454">
        <w:t xml:space="preserve">could </w:t>
      </w:r>
      <w:r w:rsidR="00971BCD">
        <w:t xml:space="preserve">expand the size of the pie.  </w:t>
      </w:r>
      <w:r w:rsidR="00D57F68">
        <w:t>Since little data is available for these “expand the size of the pie” programs, these savings estimates will add to the uncertainty of the EE Potential and goals forecast.</w:t>
      </w:r>
      <w:r w:rsidR="00A66CAA">
        <w:t xml:space="preserve"> </w:t>
      </w:r>
      <w:r w:rsidR="00971BCD">
        <w:t>SCE strongly requests that BROs be added</w:t>
      </w:r>
      <w:r w:rsidR="00F6046D">
        <w:t xml:space="preserve"> as separate </w:t>
      </w:r>
      <w:r w:rsidR="007243F2">
        <w:t>components</w:t>
      </w:r>
      <w:r w:rsidR="006A3730">
        <w:t xml:space="preserve"> to the S</w:t>
      </w:r>
      <w:r w:rsidR="00F6046D">
        <w:t>cenario structure, so savings can be adjust</w:t>
      </w:r>
      <w:r w:rsidR="006A3730">
        <w:t>ed or optimized</w:t>
      </w:r>
      <w:r w:rsidR="00F6046D">
        <w:t xml:space="preserve"> reflecting the unique uncertainty inherent in BRO program</w:t>
      </w:r>
      <w:r w:rsidR="006A3730">
        <w:t>s</w:t>
      </w:r>
      <w:r w:rsidR="00F6046D">
        <w:t xml:space="preserve">. </w:t>
      </w:r>
      <w:r w:rsidR="003753B9">
        <w:t xml:space="preserve">Similar to the initial introduction of the Behavioral programs on the residential side. </w:t>
      </w:r>
    </w:p>
    <w:p w14:paraId="493770F6" w14:textId="77777777" w:rsidR="00A66CAA" w:rsidRDefault="00A66CAA" w:rsidP="00B146CF">
      <w:pPr>
        <w:pStyle w:val="Heading3"/>
      </w:pPr>
    </w:p>
    <w:p w14:paraId="6EF574FE" w14:textId="77777777" w:rsidR="009A430C" w:rsidRDefault="00B146CF" w:rsidP="00B146CF">
      <w:pPr>
        <w:pStyle w:val="Heading3"/>
      </w:pPr>
      <w:r>
        <w:t>Scenarios - Moving Forward</w:t>
      </w:r>
    </w:p>
    <w:p w14:paraId="59961621" w14:textId="7102056A" w:rsidR="00341E0E" w:rsidRDefault="00C20FCC" w:rsidP="00341E0E">
      <w:pPr>
        <w:autoSpaceDE w:val="0"/>
        <w:autoSpaceDN w:val="0"/>
        <w:adjustRightInd w:val="0"/>
        <w:spacing w:before="3" w:after="0" w:line="240" w:lineRule="auto"/>
      </w:pPr>
      <w:r>
        <w:t xml:space="preserve">Recent Legislative actions </w:t>
      </w:r>
      <w:r w:rsidR="00860A56">
        <w:t>significantly impact t</w:t>
      </w:r>
      <w:r w:rsidR="00B146CF">
        <w:t>he forecasting landscape</w:t>
      </w:r>
      <w:r w:rsidR="005C455D">
        <w:t>, and requires modelers to change with it</w:t>
      </w:r>
      <w:r w:rsidR="00B146CF">
        <w:t>.  A</w:t>
      </w:r>
      <w:r w:rsidR="006A20C9">
        <w:t xml:space="preserve">ssessing bounds of uncertainty inherent in this new environment </w:t>
      </w:r>
      <w:r>
        <w:t xml:space="preserve">in constructing EE </w:t>
      </w:r>
      <w:r w:rsidR="006A20C9">
        <w:t xml:space="preserve">program goals </w:t>
      </w:r>
      <w:r w:rsidR="00860A56">
        <w:t xml:space="preserve">is required to </w:t>
      </w:r>
      <w:r w:rsidR="008F00FB">
        <w:t>assure</w:t>
      </w:r>
      <w:r w:rsidR="009B13B7">
        <w:t xml:space="preserve"> goals</w:t>
      </w:r>
      <w:r w:rsidR="00860A56">
        <w:t xml:space="preserve"> are constructed</w:t>
      </w:r>
      <w:r w:rsidR="009B13B7">
        <w:t xml:space="preserve"> </w:t>
      </w:r>
      <w:r w:rsidR="006A20C9">
        <w:t xml:space="preserve">that are </w:t>
      </w:r>
      <w:r w:rsidR="006A20C9" w:rsidRPr="002765CD">
        <w:t>reliable, achievable and cost-effective</w:t>
      </w:r>
      <w:r w:rsidR="006A20C9">
        <w:t>.</w:t>
      </w:r>
    </w:p>
    <w:p w14:paraId="6DDBD284" w14:textId="77777777" w:rsidR="00107073" w:rsidRDefault="00107073" w:rsidP="00341E0E">
      <w:pPr>
        <w:autoSpaceDE w:val="0"/>
        <w:autoSpaceDN w:val="0"/>
        <w:adjustRightInd w:val="0"/>
        <w:spacing w:before="3" w:after="0" w:line="240" w:lineRule="auto"/>
      </w:pPr>
    </w:p>
    <w:p w14:paraId="25280CB0" w14:textId="77777777" w:rsidR="00B146CF" w:rsidRPr="00971BCD" w:rsidRDefault="00B146CF" w:rsidP="006E0DE6">
      <w:pPr>
        <w:autoSpaceDE w:val="0"/>
        <w:autoSpaceDN w:val="0"/>
        <w:adjustRightInd w:val="0"/>
        <w:spacing w:before="3" w:after="0" w:line="240" w:lineRule="auto"/>
      </w:pPr>
      <w:r>
        <w:lastRenderedPageBreak/>
        <w:t xml:space="preserve">SCE strongly advocates for a </w:t>
      </w:r>
      <w:r w:rsidR="00A66CAA">
        <w:t xml:space="preserve">different methodological </w:t>
      </w:r>
      <w:r>
        <w:t>look at how EE Potential can be used</w:t>
      </w:r>
      <w:r w:rsidR="00C0090F">
        <w:t xml:space="preserve"> that requires</w:t>
      </w:r>
      <w:r>
        <w:t xml:space="preserve"> </w:t>
      </w:r>
      <w:r w:rsidR="00CB5AC9">
        <w:t>many things to be addressed at once:</w:t>
      </w:r>
      <w:r w:rsidRPr="00971BCD">
        <w:t xml:space="preserve"> </w:t>
      </w:r>
    </w:p>
    <w:p w14:paraId="0C7B83CC" w14:textId="77777777" w:rsidR="00B146CF" w:rsidRDefault="00B146CF" w:rsidP="00B146CF">
      <w:pPr>
        <w:pStyle w:val="ListParagraph"/>
        <w:numPr>
          <w:ilvl w:val="0"/>
          <w:numId w:val="26"/>
        </w:numPr>
        <w:autoSpaceDE w:val="0"/>
        <w:autoSpaceDN w:val="0"/>
        <w:adjustRightInd w:val="0"/>
        <w:spacing w:before="3" w:after="0" w:line="240" w:lineRule="auto"/>
      </w:pPr>
      <w:r>
        <w:t xml:space="preserve">Assure EE program goals are </w:t>
      </w:r>
      <w:r w:rsidRPr="002765CD">
        <w:t>reliable, achievable and cost-effective</w:t>
      </w:r>
    </w:p>
    <w:p w14:paraId="797BE400" w14:textId="77777777" w:rsidR="00CB5AC9" w:rsidRDefault="00CB5AC9" w:rsidP="00B146CF">
      <w:pPr>
        <w:pStyle w:val="ListParagraph"/>
        <w:numPr>
          <w:ilvl w:val="0"/>
          <w:numId w:val="26"/>
        </w:numPr>
        <w:autoSpaceDE w:val="0"/>
        <w:autoSpaceDN w:val="0"/>
        <w:adjustRightInd w:val="0"/>
        <w:spacing w:before="3" w:after="0" w:line="240" w:lineRule="auto"/>
      </w:pPr>
      <w:r>
        <w:t>Public Policy impacts on program requirement</w:t>
      </w:r>
      <w:r w:rsidR="00F6046D">
        <w:t xml:space="preserve"> are explicitly addressed</w:t>
      </w:r>
    </w:p>
    <w:p w14:paraId="20E6CB5D" w14:textId="77777777" w:rsidR="00D76360" w:rsidRDefault="00F6046D" w:rsidP="00B146CF">
      <w:pPr>
        <w:pStyle w:val="ListParagraph"/>
        <w:numPr>
          <w:ilvl w:val="0"/>
          <w:numId w:val="26"/>
        </w:numPr>
        <w:autoSpaceDE w:val="0"/>
        <w:autoSpaceDN w:val="0"/>
        <w:adjustRightInd w:val="0"/>
        <w:spacing w:before="3" w:after="0" w:line="240" w:lineRule="auto"/>
      </w:pPr>
      <w:r>
        <w:t xml:space="preserve">Assure </w:t>
      </w:r>
      <w:r w:rsidR="00CB5AC9">
        <w:t>PA</w:t>
      </w:r>
      <w:r w:rsidR="00D76360">
        <w:t xml:space="preserve"> program limitations </w:t>
      </w:r>
      <w:r>
        <w:t>are explicitly addressed</w:t>
      </w:r>
    </w:p>
    <w:p w14:paraId="51146FE6" w14:textId="77777777" w:rsidR="00CB5AC9" w:rsidRDefault="00CB5AC9" w:rsidP="00B146CF">
      <w:pPr>
        <w:pStyle w:val="ListParagraph"/>
        <w:numPr>
          <w:ilvl w:val="0"/>
          <w:numId w:val="26"/>
        </w:numPr>
        <w:autoSpaceDE w:val="0"/>
        <w:autoSpaceDN w:val="0"/>
        <w:adjustRightInd w:val="0"/>
        <w:spacing w:before="3" w:after="0" w:line="240" w:lineRule="auto"/>
      </w:pPr>
      <w:r>
        <w:t>CPUC policy impacts</w:t>
      </w:r>
      <w:r w:rsidR="00D76360">
        <w:t xml:space="preserve"> of program savings</w:t>
      </w:r>
      <w:r w:rsidR="00F6046D">
        <w:t xml:space="preserve"> are explicitly addressed</w:t>
      </w:r>
    </w:p>
    <w:p w14:paraId="18159E7A" w14:textId="77777777" w:rsidR="00F6046D" w:rsidRDefault="00F6046D" w:rsidP="009E0F2A">
      <w:pPr>
        <w:autoSpaceDE w:val="0"/>
        <w:autoSpaceDN w:val="0"/>
        <w:adjustRightInd w:val="0"/>
        <w:spacing w:before="3" w:after="0" w:line="240" w:lineRule="auto"/>
      </w:pPr>
    </w:p>
    <w:p w14:paraId="106D7295" w14:textId="77777777" w:rsidR="000B7DD1" w:rsidRDefault="00D76360" w:rsidP="009E0F2A">
      <w:pPr>
        <w:autoSpaceDE w:val="0"/>
        <w:autoSpaceDN w:val="0"/>
        <w:adjustRightInd w:val="0"/>
        <w:spacing w:before="3" w:after="0" w:line="240" w:lineRule="auto"/>
      </w:pPr>
      <w:r>
        <w:t xml:space="preserve">All </w:t>
      </w:r>
      <w:r w:rsidR="00032E2B">
        <w:t xml:space="preserve">require </w:t>
      </w:r>
      <w:r w:rsidR="00F6046D">
        <w:t xml:space="preserve">individual </w:t>
      </w:r>
      <w:r w:rsidR="00032E2B">
        <w:t>a</w:t>
      </w:r>
      <w:r w:rsidR="00341E0E">
        <w:t>ssess</w:t>
      </w:r>
      <w:r w:rsidR="00032E2B">
        <w:t xml:space="preserve">ment of the </w:t>
      </w:r>
      <w:r w:rsidR="00341E0E">
        <w:t>bounds of uncertainty inherent in this new environment</w:t>
      </w:r>
      <w:r w:rsidR="00032E2B">
        <w:t xml:space="preserve">. </w:t>
      </w:r>
      <w:r w:rsidR="00D51F5F">
        <w:t>The chart below defines EE Potential</w:t>
      </w:r>
      <w:r w:rsidR="00D51F5F">
        <w:rPr>
          <w:rStyle w:val="FootnoteReference"/>
        </w:rPr>
        <w:footnoteReference w:id="5"/>
      </w:r>
      <w:r w:rsidR="00D51F5F">
        <w:t xml:space="preserve"> in a very different way then typically found in California. </w:t>
      </w:r>
    </w:p>
    <w:p w14:paraId="51D183D0" w14:textId="77777777" w:rsidR="009E0F2A" w:rsidRPr="000B7DD1" w:rsidRDefault="009E0F2A" w:rsidP="009E0F2A">
      <w:pPr>
        <w:autoSpaceDE w:val="0"/>
        <w:autoSpaceDN w:val="0"/>
        <w:adjustRightInd w:val="0"/>
        <w:spacing w:before="3" w:after="0" w:line="240" w:lineRule="auto"/>
      </w:pPr>
    </w:p>
    <w:p w14:paraId="6DBA998D" w14:textId="77777777" w:rsidR="00EA1261" w:rsidRDefault="00EA1261" w:rsidP="000B7DD1">
      <w:pPr>
        <w:autoSpaceDE w:val="0"/>
        <w:autoSpaceDN w:val="0"/>
        <w:adjustRightInd w:val="0"/>
        <w:spacing w:before="3" w:after="0" w:line="240" w:lineRule="auto"/>
      </w:pPr>
      <w:r w:rsidRPr="000B7DD1">
        <w:rPr>
          <w:b/>
          <w:bCs/>
          <w:color w:val="0073B4"/>
          <w:sz w:val="28"/>
          <w:szCs w:val="28"/>
        </w:rPr>
        <w:t>Definitions of Energy Efficiency Potential</w:t>
      </w:r>
    </w:p>
    <w:p w14:paraId="2AA1B201" w14:textId="77777777" w:rsidR="00EA1261" w:rsidRDefault="00EA1261" w:rsidP="00341E0E">
      <w:pPr>
        <w:autoSpaceDE w:val="0"/>
        <w:autoSpaceDN w:val="0"/>
        <w:adjustRightInd w:val="0"/>
        <w:spacing w:before="3" w:after="0" w:line="240" w:lineRule="auto"/>
      </w:pPr>
      <w:r>
        <w:rPr>
          <w:noProof/>
        </w:rPr>
        <w:drawing>
          <wp:inline distT="0" distB="0" distL="0" distR="0" wp14:anchorId="3AEA29A0" wp14:editId="444BB511">
            <wp:extent cx="5943600" cy="28321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832100"/>
                    </a:xfrm>
                    <a:prstGeom prst="rect">
                      <a:avLst/>
                    </a:prstGeom>
                  </pic:spPr>
                </pic:pic>
              </a:graphicData>
            </a:graphic>
          </wp:inline>
        </w:drawing>
      </w:r>
    </w:p>
    <w:p w14:paraId="1836ACE7" w14:textId="77777777" w:rsidR="00EA1261" w:rsidRDefault="00EA1261" w:rsidP="00341E0E">
      <w:pPr>
        <w:autoSpaceDE w:val="0"/>
        <w:autoSpaceDN w:val="0"/>
        <w:adjustRightInd w:val="0"/>
        <w:spacing w:before="3" w:after="0" w:line="240" w:lineRule="auto"/>
      </w:pPr>
    </w:p>
    <w:p w14:paraId="0493D9E9" w14:textId="77777777" w:rsidR="00EA1261" w:rsidRPr="006905A5" w:rsidRDefault="00EA1261" w:rsidP="0084114B">
      <w:pPr>
        <w:pStyle w:val="ListParagraph"/>
        <w:numPr>
          <w:ilvl w:val="0"/>
          <w:numId w:val="23"/>
        </w:numPr>
        <w:autoSpaceDE w:val="0"/>
        <w:autoSpaceDN w:val="0"/>
        <w:adjustRightInd w:val="0"/>
        <w:spacing w:before="3" w:after="0" w:line="240" w:lineRule="auto"/>
        <w:rPr>
          <w:rFonts w:cs="JDAOP K+ Frutiger LT Std"/>
          <w:color w:val="000000"/>
        </w:rPr>
      </w:pPr>
      <w:r w:rsidRPr="006905A5">
        <w:t>As defined below, the notion of two different types of</w:t>
      </w:r>
      <w:r w:rsidR="00C72B07" w:rsidRPr="006905A5">
        <w:t xml:space="preserve"> </w:t>
      </w:r>
      <w:r w:rsidR="00533C2B" w:rsidRPr="006905A5">
        <w:t xml:space="preserve">realistic achievable </w:t>
      </w:r>
      <w:r w:rsidR="00C72B07" w:rsidRPr="006905A5">
        <w:t xml:space="preserve">EE Potential </w:t>
      </w:r>
      <w:r w:rsidRPr="006905A5">
        <w:t xml:space="preserve">is intriguing. </w:t>
      </w:r>
    </w:p>
    <w:p w14:paraId="371B77C4" w14:textId="77777777" w:rsidR="00EA1261" w:rsidRPr="006905A5" w:rsidRDefault="00EA1261" w:rsidP="00341E0E">
      <w:pPr>
        <w:autoSpaceDE w:val="0"/>
        <w:autoSpaceDN w:val="0"/>
        <w:adjustRightInd w:val="0"/>
        <w:spacing w:after="0" w:line="240" w:lineRule="auto"/>
        <w:ind w:left="720"/>
        <w:rPr>
          <w:rFonts w:cs="JDAON I+ Frutiger LT Std"/>
          <w:color w:val="211D1E"/>
        </w:rPr>
      </w:pPr>
      <w:r w:rsidRPr="006905A5">
        <w:rPr>
          <w:rFonts w:cs="JDAOP K+ Frutiger LT Std"/>
          <w:b/>
          <w:bCs/>
          <w:color w:val="0073B4"/>
        </w:rPr>
        <w:t xml:space="preserve">Achievable Potential </w:t>
      </w:r>
      <w:r w:rsidRPr="006905A5">
        <w:rPr>
          <w:rFonts w:cs="JDAON I+ Frutiger LT Std"/>
          <w:color w:val="211D1E"/>
        </w:rPr>
        <w:t>is the amount of energy use that efficiency can realistically be expected to displace assuming the most aggressive program scenario possible (e.g., providing end-users with payments for the entire incremental cost of more efficiency equipment). This is often referred to as maximum achievable potential. Achievable potential takes into account real-world barriers to convincing end-users to adopt efficiency measures, the non-measure costs of delivering programs (for administration, marketing, tracking systems, monitoring and evaluation, etc.), and the capability of programs and administrators to ramp up program activity over time</w:t>
      </w:r>
    </w:p>
    <w:p w14:paraId="33CE75EB" w14:textId="77777777" w:rsidR="00EA1261" w:rsidRPr="006905A5" w:rsidRDefault="00EA1261" w:rsidP="00C72B07">
      <w:pPr>
        <w:autoSpaceDE w:val="0"/>
        <w:autoSpaceDN w:val="0"/>
        <w:adjustRightInd w:val="0"/>
        <w:spacing w:after="0" w:line="240" w:lineRule="auto"/>
        <w:ind w:left="720"/>
        <w:rPr>
          <w:rFonts w:cs="JDAOP K+ Frutiger LT Std"/>
          <w:color w:val="000000"/>
        </w:rPr>
      </w:pPr>
    </w:p>
    <w:p w14:paraId="128E7870" w14:textId="77777777" w:rsidR="00EA1261" w:rsidRPr="006905A5" w:rsidRDefault="00EA1261" w:rsidP="00C72B07">
      <w:pPr>
        <w:autoSpaceDE w:val="0"/>
        <w:autoSpaceDN w:val="0"/>
        <w:adjustRightInd w:val="0"/>
        <w:spacing w:after="0" w:line="240" w:lineRule="auto"/>
        <w:ind w:left="720"/>
        <w:rPr>
          <w:rFonts w:cs="JDAON I+ Frutiger LT Std"/>
          <w:color w:val="211D1E"/>
        </w:rPr>
      </w:pPr>
      <w:r w:rsidRPr="006905A5">
        <w:rPr>
          <w:rFonts w:cs="JDAOP K+ Frutiger LT Std"/>
          <w:b/>
          <w:bCs/>
          <w:color w:val="0073B4"/>
        </w:rPr>
        <w:t xml:space="preserve">Program Potential </w:t>
      </w:r>
      <w:r w:rsidRPr="006905A5">
        <w:rPr>
          <w:rFonts w:cs="JDAON I+ Frutiger LT Std"/>
          <w:color w:val="211D1E"/>
        </w:rPr>
        <w:t xml:space="preserve">refers to the efficiency potential possible given specific program funding levels and designs. Often, program potential studies are referred to as “achievable” in contrast to “maximum achievable.” In effect, they estimate the achievable potential from a given set of programs and funding. Program potential studies can consider scenarios ranging from a single </w:t>
      </w:r>
      <w:r w:rsidRPr="006905A5">
        <w:rPr>
          <w:rFonts w:cs="JDAON I+ Frutiger LT Std"/>
          <w:color w:val="211D1E"/>
        </w:rPr>
        <w:lastRenderedPageBreak/>
        <w:t xml:space="preserve">program to a full portfolio of programs. A typical potential study may report a range of results based on different program funding levels. </w:t>
      </w:r>
    </w:p>
    <w:p w14:paraId="7EAF1FC6" w14:textId="77777777" w:rsidR="00EA1261" w:rsidRPr="006905A5" w:rsidRDefault="00EA1261" w:rsidP="00C72B07">
      <w:pPr>
        <w:autoSpaceDE w:val="0"/>
        <w:autoSpaceDN w:val="0"/>
        <w:adjustRightInd w:val="0"/>
        <w:spacing w:after="0" w:line="240" w:lineRule="auto"/>
        <w:ind w:left="720"/>
        <w:rPr>
          <w:rFonts w:cs="JDAON I+ Frutiger LT Std"/>
          <w:color w:val="211D1E"/>
        </w:rPr>
      </w:pPr>
    </w:p>
    <w:p w14:paraId="1F62ECE3" w14:textId="77777777" w:rsidR="00A66CAA" w:rsidRDefault="00A66CAA" w:rsidP="00A66CAA">
      <w:pPr>
        <w:pStyle w:val="ListParagraph"/>
        <w:autoSpaceDE w:val="0"/>
        <w:autoSpaceDN w:val="0"/>
        <w:adjustRightInd w:val="0"/>
        <w:spacing w:before="3" w:after="0" w:line="240" w:lineRule="auto"/>
      </w:pPr>
      <w:r>
        <w:t xml:space="preserve">Achievable potential represents the most aggressing program potential possible, and it essentially removes program constraints (Policy, Mandates, Budget limitations, Program Administration, </w:t>
      </w:r>
      <w:r w:rsidR="007243F2">
        <w:t>etc.</w:t>
      </w:r>
      <w:r>
        <w:t>) and focuses on barriers to EE program adoption.  While Program potential factors in these constraints and it most suitable for use in the construction of EE Program goals.</w:t>
      </w:r>
    </w:p>
    <w:p w14:paraId="312680FB" w14:textId="77777777" w:rsidR="00A66CAA" w:rsidRPr="008A614E" w:rsidRDefault="00A66CAA" w:rsidP="00C72B07">
      <w:pPr>
        <w:autoSpaceDE w:val="0"/>
        <w:autoSpaceDN w:val="0"/>
        <w:adjustRightInd w:val="0"/>
        <w:spacing w:after="0" w:line="240" w:lineRule="auto"/>
        <w:ind w:left="720"/>
      </w:pPr>
    </w:p>
    <w:p w14:paraId="2D2EDFB9" w14:textId="77777777" w:rsidR="00A66CAA" w:rsidRPr="00C72B07" w:rsidRDefault="00A66CAA" w:rsidP="00C72B07">
      <w:pPr>
        <w:autoSpaceDE w:val="0"/>
        <w:autoSpaceDN w:val="0"/>
        <w:adjustRightInd w:val="0"/>
        <w:spacing w:after="0" w:line="240" w:lineRule="auto"/>
        <w:ind w:left="720"/>
        <w:rPr>
          <w:rFonts w:ascii="JDAON I+ Frutiger LT Std" w:hAnsi="JDAON I+ Frutiger LT Std" w:cs="JDAON I+ Frutiger LT Std"/>
          <w:color w:val="211D1E"/>
          <w:sz w:val="19"/>
          <w:szCs w:val="21"/>
        </w:rPr>
      </w:pPr>
    </w:p>
    <w:p w14:paraId="7A497B12" w14:textId="77777777" w:rsidR="00C72B07" w:rsidRDefault="00F6046D" w:rsidP="00C72B07">
      <w:pPr>
        <w:pStyle w:val="ListParagraph"/>
        <w:numPr>
          <w:ilvl w:val="0"/>
          <w:numId w:val="23"/>
        </w:numPr>
        <w:autoSpaceDE w:val="0"/>
        <w:autoSpaceDN w:val="0"/>
        <w:adjustRightInd w:val="0"/>
        <w:spacing w:before="3" w:after="0" w:line="240" w:lineRule="auto"/>
      </w:pPr>
      <w:r>
        <w:t>SCE strongly advocate</w:t>
      </w:r>
      <w:r w:rsidR="007243F2">
        <w:t>s</w:t>
      </w:r>
      <w:r>
        <w:t xml:space="preserve"> for e</w:t>
      </w:r>
      <w:r w:rsidR="00C72B07">
        <w:t xml:space="preserve">xplicitly </w:t>
      </w:r>
      <w:r w:rsidR="007C2191">
        <w:t xml:space="preserve">identifying </w:t>
      </w:r>
      <w:r w:rsidR="00C72B07">
        <w:t>barriers to EE program adoption</w:t>
      </w:r>
      <w:r w:rsidR="006A3730">
        <w:t xml:space="preserve"> when developing the Scenario.</w:t>
      </w:r>
    </w:p>
    <w:p w14:paraId="70034A96" w14:textId="77777777" w:rsidR="00C72B07" w:rsidRDefault="00C72B07" w:rsidP="00C72B07">
      <w:pPr>
        <w:pStyle w:val="ListParagraph"/>
        <w:numPr>
          <w:ilvl w:val="1"/>
          <w:numId w:val="23"/>
        </w:numPr>
        <w:autoSpaceDE w:val="0"/>
        <w:autoSpaceDN w:val="0"/>
        <w:adjustRightInd w:val="0"/>
        <w:spacing w:before="3" w:after="0" w:line="240" w:lineRule="auto"/>
      </w:pPr>
      <w:r>
        <w:t>“Not Technically Feasible”</w:t>
      </w:r>
    </w:p>
    <w:p w14:paraId="49514FCE" w14:textId="77777777" w:rsidR="00C72B07" w:rsidRDefault="0084114B" w:rsidP="00C72B07">
      <w:pPr>
        <w:pStyle w:val="ListParagraph"/>
        <w:numPr>
          <w:ilvl w:val="2"/>
          <w:numId w:val="23"/>
        </w:numPr>
        <w:autoSpaceDE w:val="0"/>
        <w:autoSpaceDN w:val="0"/>
        <w:adjustRightInd w:val="0"/>
        <w:spacing w:before="3" w:after="0" w:line="240" w:lineRule="auto"/>
      </w:pPr>
      <w:r>
        <w:t>SCE</w:t>
      </w:r>
      <w:r w:rsidR="00C72B07">
        <w:t xml:space="preserve"> believe</w:t>
      </w:r>
      <w:r>
        <w:t>s</w:t>
      </w:r>
      <w:r w:rsidR="00C72B07">
        <w:t xml:space="preserve"> this is akin to the “Applicability” factor current</w:t>
      </w:r>
      <w:r w:rsidR="00D76360">
        <w:t>ly used in the EE PG</w:t>
      </w:r>
      <w:r w:rsidR="00C72B07">
        <w:t xml:space="preserve"> model</w:t>
      </w:r>
    </w:p>
    <w:p w14:paraId="4F6F80A7" w14:textId="77777777" w:rsidR="00D062FB" w:rsidRDefault="00C72B07" w:rsidP="00C72B07">
      <w:pPr>
        <w:pStyle w:val="ListParagraph"/>
        <w:numPr>
          <w:ilvl w:val="1"/>
          <w:numId w:val="23"/>
        </w:numPr>
        <w:autoSpaceDE w:val="0"/>
        <w:autoSpaceDN w:val="0"/>
        <w:adjustRightInd w:val="0"/>
        <w:spacing w:before="3" w:after="0" w:line="240" w:lineRule="auto"/>
      </w:pPr>
      <w:r>
        <w:t>“Not Cost-Effective”</w:t>
      </w:r>
      <w:r w:rsidR="00D062FB">
        <w:t xml:space="preserve"> </w:t>
      </w:r>
    </w:p>
    <w:p w14:paraId="03A77950" w14:textId="77777777" w:rsidR="00032E2B" w:rsidRDefault="00D062FB" w:rsidP="00D062FB">
      <w:pPr>
        <w:pStyle w:val="ListParagraph"/>
        <w:numPr>
          <w:ilvl w:val="2"/>
          <w:numId w:val="23"/>
        </w:numPr>
        <w:autoSpaceDE w:val="0"/>
        <w:autoSpaceDN w:val="0"/>
        <w:adjustRightInd w:val="0"/>
        <w:spacing w:before="3" w:after="0" w:line="240" w:lineRule="auto"/>
      </w:pPr>
      <w:r>
        <w:t>TRC</w:t>
      </w:r>
      <w:r w:rsidR="00032E2B">
        <w:t xml:space="preserve"> – Current Cost-</w:t>
      </w:r>
      <w:r w:rsidR="007C2191">
        <w:t>Effectiveness</w:t>
      </w:r>
      <w:r w:rsidR="00032E2B">
        <w:t xml:space="preserve"> </w:t>
      </w:r>
      <w:r w:rsidR="007C2191">
        <w:t>Methodology</w:t>
      </w:r>
    </w:p>
    <w:p w14:paraId="4AE5A217" w14:textId="77777777" w:rsidR="00032E2B" w:rsidRDefault="00032E2B" w:rsidP="00D062FB">
      <w:pPr>
        <w:pStyle w:val="ListParagraph"/>
        <w:numPr>
          <w:ilvl w:val="2"/>
          <w:numId w:val="23"/>
        </w:numPr>
        <w:autoSpaceDE w:val="0"/>
        <w:autoSpaceDN w:val="0"/>
        <w:adjustRightInd w:val="0"/>
        <w:spacing w:before="3" w:after="0" w:line="240" w:lineRule="auto"/>
      </w:pPr>
      <w:r>
        <w:t>A</w:t>
      </w:r>
      <w:r w:rsidR="00D062FB">
        <w:t>lternative cost-effectiveness choice</w:t>
      </w:r>
      <w:r>
        <w:t>s that bring EE into congruence with the loading order and the supply side.</w:t>
      </w:r>
    </w:p>
    <w:p w14:paraId="668836C0" w14:textId="77777777" w:rsidR="00C72B07" w:rsidRDefault="00032E2B" w:rsidP="00032E2B">
      <w:pPr>
        <w:pStyle w:val="ListParagraph"/>
        <w:numPr>
          <w:ilvl w:val="3"/>
          <w:numId w:val="23"/>
        </w:numPr>
        <w:autoSpaceDE w:val="0"/>
        <w:autoSpaceDN w:val="0"/>
        <w:adjustRightInd w:val="0"/>
        <w:spacing w:before="3" w:after="0" w:line="240" w:lineRule="auto"/>
      </w:pPr>
      <w:r>
        <w:t>$/GWh</w:t>
      </w:r>
    </w:p>
    <w:p w14:paraId="12A96142" w14:textId="77777777" w:rsidR="00032E2B" w:rsidRDefault="00032E2B" w:rsidP="00032E2B">
      <w:pPr>
        <w:pStyle w:val="ListParagraph"/>
        <w:numPr>
          <w:ilvl w:val="3"/>
          <w:numId w:val="23"/>
        </w:numPr>
        <w:autoSpaceDE w:val="0"/>
        <w:autoSpaceDN w:val="0"/>
        <w:adjustRightInd w:val="0"/>
        <w:spacing w:before="3" w:after="0" w:line="240" w:lineRule="auto"/>
      </w:pPr>
      <w:r>
        <w:t>$/MW</w:t>
      </w:r>
    </w:p>
    <w:p w14:paraId="0704DDF9" w14:textId="77777777" w:rsidR="00032E2B" w:rsidRDefault="00032E2B" w:rsidP="00032E2B">
      <w:pPr>
        <w:pStyle w:val="ListParagraph"/>
        <w:numPr>
          <w:ilvl w:val="3"/>
          <w:numId w:val="23"/>
        </w:numPr>
        <w:autoSpaceDE w:val="0"/>
        <w:autoSpaceDN w:val="0"/>
        <w:adjustRightInd w:val="0"/>
        <w:spacing w:before="3" w:after="0" w:line="240" w:lineRule="auto"/>
      </w:pPr>
      <w:r>
        <w:t>Levelized Cost</w:t>
      </w:r>
    </w:p>
    <w:p w14:paraId="60C44763" w14:textId="77777777" w:rsidR="00C72B07" w:rsidRDefault="00C72B07" w:rsidP="00C72B07">
      <w:pPr>
        <w:pStyle w:val="ListParagraph"/>
        <w:numPr>
          <w:ilvl w:val="1"/>
          <w:numId w:val="23"/>
        </w:numPr>
        <w:autoSpaceDE w:val="0"/>
        <w:autoSpaceDN w:val="0"/>
        <w:adjustRightInd w:val="0"/>
        <w:spacing w:before="3" w:after="0" w:line="240" w:lineRule="auto"/>
      </w:pPr>
      <w:r>
        <w:t>“Market and Adoption Barriers”</w:t>
      </w:r>
    </w:p>
    <w:p w14:paraId="64F38810" w14:textId="77777777" w:rsidR="00D062FB" w:rsidRDefault="00D062FB" w:rsidP="00D062FB">
      <w:pPr>
        <w:pStyle w:val="ListParagraph"/>
        <w:numPr>
          <w:ilvl w:val="2"/>
          <w:numId w:val="23"/>
        </w:numPr>
        <w:autoSpaceDE w:val="0"/>
        <w:autoSpaceDN w:val="0"/>
        <w:adjustRightInd w:val="0"/>
        <w:spacing w:before="3" w:after="0" w:line="240" w:lineRule="auto"/>
      </w:pPr>
      <w:r>
        <w:t xml:space="preserve">Vast amount of EE Potential just does not </w:t>
      </w:r>
      <w:r w:rsidR="00032E2B">
        <w:t xml:space="preserve">reside </w:t>
      </w:r>
      <w:r>
        <w:t>in the market</w:t>
      </w:r>
      <w:r w:rsidR="00032E2B">
        <w:t xml:space="preserve"> without r</w:t>
      </w:r>
      <w:r>
        <w:t xml:space="preserve">eal and significant barriers </w:t>
      </w:r>
      <w:r w:rsidR="007C2191">
        <w:t>to program adoption</w:t>
      </w:r>
      <w:r>
        <w:t>.</w:t>
      </w:r>
    </w:p>
    <w:p w14:paraId="6DB7CB9D" w14:textId="77777777" w:rsidR="00D062FB" w:rsidRDefault="00D062FB" w:rsidP="00D062FB">
      <w:pPr>
        <w:pStyle w:val="ListParagraph"/>
        <w:numPr>
          <w:ilvl w:val="2"/>
          <w:numId w:val="23"/>
        </w:numPr>
        <w:autoSpaceDE w:val="0"/>
        <w:autoSpaceDN w:val="0"/>
        <w:adjustRightInd w:val="0"/>
        <w:spacing w:before="3" w:after="0" w:line="240" w:lineRule="auto"/>
      </w:pPr>
      <w:r>
        <w:t xml:space="preserve">These adoption barriers are accounted </w:t>
      </w:r>
      <w:r w:rsidR="007C2191">
        <w:t>for in past calibration methodologies</w:t>
      </w:r>
    </w:p>
    <w:p w14:paraId="2E6D05AA" w14:textId="44058C82" w:rsidR="00C72B07" w:rsidRDefault="00C72B07" w:rsidP="00C72B07">
      <w:pPr>
        <w:pStyle w:val="ListParagraph"/>
        <w:numPr>
          <w:ilvl w:val="1"/>
          <w:numId w:val="23"/>
        </w:numPr>
        <w:autoSpaceDE w:val="0"/>
        <w:autoSpaceDN w:val="0"/>
        <w:adjustRightInd w:val="0"/>
        <w:spacing w:before="3" w:after="0" w:line="240" w:lineRule="auto"/>
      </w:pPr>
      <w:r>
        <w:t>“Program Design, Budget, Staffing, and Time Constraints</w:t>
      </w:r>
      <w:r w:rsidR="00D062FB">
        <w:t>”</w:t>
      </w:r>
    </w:p>
    <w:p w14:paraId="277F1AEF" w14:textId="77777777" w:rsidR="00D062FB" w:rsidRDefault="00D062FB" w:rsidP="00D062FB">
      <w:pPr>
        <w:pStyle w:val="ListParagraph"/>
        <w:numPr>
          <w:ilvl w:val="2"/>
          <w:numId w:val="23"/>
        </w:numPr>
        <w:autoSpaceDE w:val="0"/>
        <w:autoSpaceDN w:val="0"/>
        <w:adjustRightInd w:val="0"/>
        <w:spacing w:before="3" w:after="0" w:line="240" w:lineRule="auto"/>
      </w:pPr>
      <w:r>
        <w:t xml:space="preserve">Policy, incentive, cost-effective, </w:t>
      </w:r>
      <w:r w:rsidR="006A44F1">
        <w:t xml:space="preserve">C&amp;S, </w:t>
      </w:r>
      <w:r>
        <w:t>budget, staffing and other constraints</w:t>
      </w:r>
    </w:p>
    <w:p w14:paraId="523903F0" w14:textId="77777777" w:rsidR="00D062FB" w:rsidRDefault="006A44F1" w:rsidP="00D062FB">
      <w:pPr>
        <w:pStyle w:val="ListParagraph"/>
        <w:numPr>
          <w:ilvl w:val="2"/>
          <w:numId w:val="23"/>
        </w:numPr>
        <w:autoSpaceDE w:val="0"/>
        <w:autoSpaceDN w:val="0"/>
        <w:adjustRightInd w:val="0"/>
        <w:spacing w:before="3" w:after="0" w:line="240" w:lineRule="auto"/>
      </w:pPr>
      <w:r>
        <w:t>Although budgets are a significant driver of capturing EE, other drivers significantly affect the programs ability to capture savings</w:t>
      </w:r>
    </w:p>
    <w:p w14:paraId="7058E21B" w14:textId="77777777" w:rsidR="006A44F1" w:rsidRDefault="006A44F1" w:rsidP="006A44F1">
      <w:pPr>
        <w:pStyle w:val="ListParagraph"/>
        <w:numPr>
          <w:ilvl w:val="2"/>
          <w:numId w:val="23"/>
        </w:numPr>
        <w:autoSpaceDE w:val="0"/>
        <w:autoSpaceDN w:val="0"/>
        <w:adjustRightInd w:val="0"/>
        <w:spacing w:before="3" w:after="0" w:line="240" w:lineRule="auto"/>
      </w:pPr>
      <w:r>
        <w:t>Is moving towards 3</w:t>
      </w:r>
      <w:r w:rsidRPr="006A44F1">
        <w:rPr>
          <w:vertAlign w:val="superscript"/>
        </w:rPr>
        <w:t>rd</w:t>
      </w:r>
      <w:r>
        <w:t xml:space="preserve"> party administration a way to remove these constraints?</w:t>
      </w:r>
    </w:p>
    <w:p w14:paraId="1CE7106F" w14:textId="77777777" w:rsidR="003753B9" w:rsidRDefault="003753B9" w:rsidP="006A44F1">
      <w:pPr>
        <w:pStyle w:val="ListParagraph"/>
        <w:numPr>
          <w:ilvl w:val="2"/>
          <w:numId w:val="23"/>
        </w:numPr>
        <w:autoSpaceDE w:val="0"/>
        <w:autoSpaceDN w:val="0"/>
        <w:adjustRightInd w:val="0"/>
        <w:spacing w:before="3" w:after="0" w:line="240" w:lineRule="auto"/>
      </w:pPr>
      <w:r>
        <w:t>Is statewide admin going to remove these constraints?</w:t>
      </w:r>
    </w:p>
    <w:p w14:paraId="676E3815" w14:textId="77777777" w:rsidR="007C2191" w:rsidRDefault="007C2191" w:rsidP="007C2191">
      <w:pPr>
        <w:autoSpaceDE w:val="0"/>
        <w:autoSpaceDN w:val="0"/>
        <w:adjustRightInd w:val="0"/>
        <w:spacing w:before="3" w:after="0" w:line="240" w:lineRule="auto"/>
      </w:pPr>
    </w:p>
    <w:p w14:paraId="0A6A5B98" w14:textId="77777777" w:rsidR="00C0090F" w:rsidRDefault="00C0090F" w:rsidP="00C0090F">
      <w:pPr>
        <w:pStyle w:val="Heading3"/>
      </w:pPr>
      <w:r>
        <w:t>S</w:t>
      </w:r>
      <w:r w:rsidR="000D673E">
        <w:t>CE Scenario Response</w:t>
      </w:r>
    </w:p>
    <w:p w14:paraId="2D488127" w14:textId="77777777" w:rsidR="0084114B" w:rsidRDefault="005131EC" w:rsidP="00A34FDC">
      <w:pPr>
        <w:autoSpaceDE w:val="0"/>
        <w:autoSpaceDN w:val="0"/>
        <w:adjustRightInd w:val="0"/>
        <w:spacing w:before="3" w:after="0" w:line="240" w:lineRule="auto"/>
      </w:pPr>
      <w:r>
        <w:t xml:space="preserve">SCE strongly suggest that EE potential be modeled in such a way that the effect of modeling </w:t>
      </w:r>
      <w:r w:rsidR="00E715EE">
        <w:t>uncertainty and</w:t>
      </w:r>
      <w:r w:rsidR="006A3730">
        <w:t xml:space="preserve"> </w:t>
      </w:r>
      <w:r w:rsidR="007243F2">
        <w:t xml:space="preserve">regulator and program constraints </w:t>
      </w:r>
      <w:r>
        <w:t xml:space="preserve">are </w:t>
      </w:r>
      <w:r w:rsidR="00C022E6">
        <w:t xml:space="preserve">explicitly </w:t>
      </w:r>
      <w:r>
        <w:t xml:space="preserve">addressed. </w:t>
      </w:r>
      <w:r w:rsidR="0084114B">
        <w:t xml:space="preserve">Taking the aforementioned structure into account </w:t>
      </w:r>
      <w:r w:rsidR="006A3730">
        <w:t xml:space="preserve">by </w:t>
      </w:r>
      <w:r w:rsidR="007243F2">
        <w:t xml:space="preserve">explicitly identifying barriers </w:t>
      </w:r>
      <w:r w:rsidR="0084114B">
        <w:t>(a. - d.</w:t>
      </w:r>
      <w:r w:rsidR="00C022E6">
        <w:t xml:space="preserve"> above</w:t>
      </w:r>
      <w:r w:rsidR="0084114B">
        <w:t>)</w:t>
      </w:r>
      <w:r w:rsidR="006A3730">
        <w:t xml:space="preserve"> that address </w:t>
      </w:r>
      <w:r>
        <w:t>sources of</w:t>
      </w:r>
      <w:r w:rsidR="0084114B">
        <w:t xml:space="preserve"> forecasting uncertainty</w:t>
      </w:r>
      <w:r w:rsidR="006A3730">
        <w:t>,</w:t>
      </w:r>
      <w:r w:rsidR="00C022E6">
        <w:t xml:space="preserve"> and </w:t>
      </w:r>
      <w:r w:rsidR="0084114B">
        <w:t>recent legislative mandates, one can start constructing realistic scenarios</w:t>
      </w:r>
      <w:r w:rsidR="00F6046D">
        <w:t xml:space="preserve"> that </w:t>
      </w:r>
      <w:r w:rsidR="00D76360">
        <w:t xml:space="preserve">allow </w:t>
      </w:r>
      <w:r w:rsidR="007243F2">
        <w:t>for users to u</w:t>
      </w:r>
      <w:r w:rsidR="00322A41">
        <w:t xml:space="preserve">niquely </w:t>
      </w:r>
      <w:r w:rsidR="007243F2">
        <w:t xml:space="preserve">identify </w:t>
      </w:r>
      <w:r w:rsidR="00322A41">
        <w:t xml:space="preserve">the effects </w:t>
      </w:r>
      <w:r w:rsidR="007243F2">
        <w:t xml:space="preserve">on the programs ability to capture </w:t>
      </w:r>
      <w:r w:rsidR="00322A41">
        <w:t>savings</w:t>
      </w:r>
      <w:r>
        <w:t xml:space="preserve">.  </w:t>
      </w:r>
      <w:r w:rsidR="00D76360">
        <w:t>For e</w:t>
      </w:r>
      <w:r w:rsidR="00C022E6">
        <w:t>xample, w</w:t>
      </w:r>
      <w:r>
        <w:t xml:space="preserve">hat </w:t>
      </w:r>
      <w:r w:rsidR="006A3730">
        <w:t xml:space="preserve">is the impact on EE program ability to capture savings </w:t>
      </w:r>
      <w:r>
        <w:t>if</w:t>
      </w:r>
      <w:r w:rsidR="0084114B">
        <w:t>:</w:t>
      </w:r>
    </w:p>
    <w:p w14:paraId="518F9214" w14:textId="77777777" w:rsidR="0084114B" w:rsidRDefault="0084114B" w:rsidP="0084114B">
      <w:pPr>
        <w:pStyle w:val="ListParagraph"/>
        <w:numPr>
          <w:ilvl w:val="0"/>
          <w:numId w:val="27"/>
        </w:numPr>
        <w:autoSpaceDE w:val="0"/>
        <w:autoSpaceDN w:val="0"/>
        <w:adjustRightInd w:val="0"/>
        <w:spacing w:before="3" w:after="0" w:line="240" w:lineRule="auto"/>
      </w:pPr>
      <w:r>
        <w:t>The current cost effectiveness structure is changed</w:t>
      </w:r>
    </w:p>
    <w:p w14:paraId="0BE3EC19" w14:textId="77777777" w:rsidR="0084114B" w:rsidRDefault="0084114B" w:rsidP="0084114B">
      <w:pPr>
        <w:pStyle w:val="ListParagraph"/>
        <w:numPr>
          <w:ilvl w:val="0"/>
          <w:numId w:val="27"/>
        </w:numPr>
        <w:autoSpaceDE w:val="0"/>
        <w:autoSpaceDN w:val="0"/>
        <w:adjustRightInd w:val="0"/>
        <w:spacing w:before="3" w:after="0" w:line="240" w:lineRule="auto"/>
      </w:pPr>
      <w:r>
        <w:t>CPUC policy changes</w:t>
      </w:r>
      <w:r w:rsidR="00C022E6">
        <w:t xml:space="preserve"> (ex., early retirement</w:t>
      </w:r>
      <w:r w:rsidR="00D76360">
        <w:t>/</w:t>
      </w:r>
      <w:r w:rsidR="00C022E6">
        <w:t xml:space="preserve">below code savings </w:t>
      </w:r>
      <w:r w:rsidR="00322A41">
        <w:t xml:space="preserve">not requiring the use </w:t>
      </w:r>
      <w:r w:rsidR="00C022E6">
        <w:t>full cost of the measure</w:t>
      </w:r>
      <w:r w:rsidR="00322A41">
        <w:t>)</w:t>
      </w:r>
    </w:p>
    <w:p w14:paraId="41E544F6" w14:textId="77777777" w:rsidR="00A74EE7" w:rsidRDefault="005131EC" w:rsidP="0084114B">
      <w:pPr>
        <w:pStyle w:val="ListParagraph"/>
        <w:numPr>
          <w:ilvl w:val="0"/>
          <w:numId w:val="27"/>
        </w:numPr>
        <w:autoSpaceDE w:val="0"/>
        <w:autoSpaceDN w:val="0"/>
        <w:adjustRightInd w:val="0"/>
        <w:spacing w:before="3" w:after="0" w:line="240" w:lineRule="auto"/>
      </w:pPr>
      <w:r>
        <w:t xml:space="preserve">Pessimistic or </w:t>
      </w:r>
      <w:r w:rsidR="001C2971">
        <w:t>Optimistic</w:t>
      </w:r>
      <w:r>
        <w:t xml:space="preserve"> views of EE Programs ability to capture legislat</w:t>
      </w:r>
      <w:r w:rsidR="00322A41">
        <w:t>ed savings:</w:t>
      </w:r>
    </w:p>
    <w:p w14:paraId="13936EF5" w14:textId="77777777" w:rsidR="00A74EE7" w:rsidRDefault="00A74EE7" w:rsidP="00A74EE7">
      <w:pPr>
        <w:pStyle w:val="ListParagraph"/>
        <w:numPr>
          <w:ilvl w:val="1"/>
          <w:numId w:val="27"/>
        </w:numPr>
        <w:autoSpaceDE w:val="0"/>
        <w:autoSpaceDN w:val="0"/>
        <w:adjustRightInd w:val="0"/>
        <w:spacing w:before="3" w:after="0" w:line="240" w:lineRule="auto"/>
      </w:pPr>
      <w:r>
        <w:t>Doubling the efficiency of existing buildings</w:t>
      </w:r>
    </w:p>
    <w:p w14:paraId="1A145B76" w14:textId="77777777" w:rsidR="00A74EE7" w:rsidRDefault="00A74EE7" w:rsidP="00A74EE7">
      <w:pPr>
        <w:pStyle w:val="ListParagraph"/>
        <w:numPr>
          <w:ilvl w:val="1"/>
          <w:numId w:val="27"/>
        </w:numPr>
        <w:autoSpaceDE w:val="0"/>
        <w:autoSpaceDN w:val="0"/>
        <w:adjustRightInd w:val="0"/>
        <w:spacing w:before="3" w:after="0" w:line="240" w:lineRule="auto"/>
      </w:pPr>
      <w:r>
        <w:t>Capturing below code savings (attribution)</w:t>
      </w:r>
    </w:p>
    <w:p w14:paraId="1A058906" w14:textId="77777777" w:rsidR="00A74EE7" w:rsidRDefault="00A74EE7" w:rsidP="00A74EE7">
      <w:pPr>
        <w:pStyle w:val="ListParagraph"/>
        <w:numPr>
          <w:ilvl w:val="1"/>
          <w:numId w:val="27"/>
        </w:numPr>
        <w:autoSpaceDE w:val="0"/>
        <w:autoSpaceDN w:val="0"/>
        <w:adjustRightInd w:val="0"/>
        <w:spacing w:before="3" w:after="0" w:line="240" w:lineRule="auto"/>
      </w:pPr>
      <w:r>
        <w:t>Reintroducing Retro</w:t>
      </w:r>
      <w:r w:rsidR="000A626E">
        <w:t>-</w:t>
      </w:r>
      <w:r>
        <w:t>commissioning programs</w:t>
      </w:r>
    </w:p>
    <w:p w14:paraId="616665C6" w14:textId="77777777" w:rsidR="00A74EE7" w:rsidRDefault="00A74EE7" w:rsidP="00A74EE7">
      <w:pPr>
        <w:pStyle w:val="ListParagraph"/>
        <w:numPr>
          <w:ilvl w:val="1"/>
          <w:numId w:val="27"/>
        </w:numPr>
        <w:autoSpaceDE w:val="0"/>
        <w:autoSpaceDN w:val="0"/>
        <w:adjustRightInd w:val="0"/>
        <w:spacing w:before="3" w:after="0" w:line="240" w:lineRule="auto"/>
      </w:pPr>
      <w:r>
        <w:t>Increasing savings from behavior programs (saturation effects)</w:t>
      </w:r>
    </w:p>
    <w:p w14:paraId="305B386B" w14:textId="77777777" w:rsidR="0084114B" w:rsidRDefault="00A74EE7" w:rsidP="00A34FDC">
      <w:pPr>
        <w:pStyle w:val="ListParagraph"/>
        <w:numPr>
          <w:ilvl w:val="1"/>
          <w:numId w:val="27"/>
        </w:numPr>
        <w:autoSpaceDE w:val="0"/>
        <w:autoSpaceDN w:val="0"/>
        <w:adjustRightInd w:val="0"/>
        <w:spacing w:before="3" w:after="0" w:line="240" w:lineRule="auto"/>
      </w:pPr>
      <w:r>
        <w:t>Introducing operational efficiency programs</w:t>
      </w:r>
    </w:p>
    <w:p w14:paraId="36903265" w14:textId="77777777" w:rsidR="00DD370B" w:rsidRDefault="00DD370B" w:rsidP="00A34FDC">
      <w:pPr>
        <w:pStyle w:val="ListParagraph"/>
        <w:numPr>
          <w:ilvl w:val="1"/>
          <w:numId w:val="27"/>
        </w:numPr>
        <w:autoSpaceDE w:val="0"/>
        <w:autoSpaceDN w:val="0"/>
        <w:adjustRightInd w:val="0"/>
        <w:spacing w:before="3" w:after="0" w:line="240" w:lineRule="auto"/>
      </w:pPr>
      <w:r>
        <w:lastRenderedPageBreak/>
        <w:t>Value of NMEC and Pay for performance program structures</w:t>
      </w:r>
    </w:p>
    <w:p w14:paraId="54EA1825" w14:textId="77777777" w:rsidR="00DD370B" w:rsidRDefault="00DD370B" w:rsidP="00A34FDC">
      <w:pPr>
        <w:pStyle w:val="ListParagraph"/>
        <w:numPr>
          <w:ilvl w:val="1"/>
          <w:numId w:val="27"/>
        </w:numPr>
        <w:autoSpaceDE w:val="0"/>
        <w:autoSpaceDN w:val="0"/>
        <w:adjustRightInd w:val="0"/>
        <w:spacing w:before="3" w:after="0" w:line="240" w:lineRule="auto"/>
      </w:pPr>
      <w:r>
        <w:t>Realization of NMEC and Pay for Performance savings</w:t>
      </w:r>
    </w:p>
    <w:p w14:paraId="33AD19E9" w14:textId="77777777" w:rsidR="006448E8" w:rsidRDefault="006448E8" w:rsidP="00206D79">
      <w:pPr>
        <w:autoSpaceDE w:val="0"/>
        <w:autoSpaceDN w:val="0"/>
        <w:adjustRightInd w:val="0"/>
        <w:spacing w:before="3" w:after="0" w:line="240" w:lineRule="auto"/>
      </w:pPr>
    </w:p>
    <w:p w14:paraId="12C7CAA7" w14:textId="77777777" w:rsidR="00D76360" w:rsidRPr="00D76360" w:rsidRDefault="00C0090F" w:rsidP="00206D79">
      <w:pPr>
        <w:autoSpaceDE w:val="0"/>
        <w:autoSpaceDN w:val="0"/>
        <w:adjustRightInd w:val="0"/>
        <w:spacing w:before="3" w:after="0" w:line="240" w:lineRule="auto"/>
      </w:pPr>
      <w:r w:rsidRPr="00A34FDC">
        <w:t xml:space="preserve">The objective of SCE’s scenario suggestions is to </w:t>
      </w:r>
      <w:r w:rsidR="001C2971">
        <w:t xml:space="preserve">realistically </w:t>
      </w:r>
      <w:r w:rsidR="00206D79">
        <w:t xml:space="preserve">allow </w:t>
      </w:r>
      <w:r w:rsidR="00F048DF">
        <w:t xml:space="preserve">for </w:t>
      </w:r>
      <w:r w:rsidR="00206D79">
        <w:t xml:space="preserve">the program goals to be optimized to account for saving uncertainty while allowing </w:t>
      </w:r>
      <w:r w:rsidRPr="00A34FDC">
        <w:t>policy</w:t>
      </w:r>
      <w:r w:rsidR="00206D79">
        <w:t xml:space="preserve"> makers</w:t>
      </w:r>
      <w:r w:rsidRPr="00A34FDC">
        <w:t xml:space="preserve"> to assess the effects of policy changes on the EE programs ability to capture savings</w:t>
      </w:r>
      <w:r w:rsidR="00206D79">
        <w:t>.</w:t>
      </w:r>
    </w:p>
    <w:p w14:paraId="15B61554" w14:textId="77777777" w:rsidR="002E5A8B" w:rsidRDefault="002E5A8B" w:rsidP="007534CE">
      <w:pPr>
        <w:pStyle w:val="Heading1"/>
        <w:numPr>
          <w:ilvl w:val="0"/>
          <w:numId w:val="36"/>
        </w:numPr>
      </w:pPr>
      <w:r>
        <w:t>Cost-</w:t>
      </w:r>
      <w:r w:rsidR="00322A41">
        <w:t>Effectiveness</w:t>
      </w:r>
    </w:p>
    <w:p w14:paraId="055CF4E3" w14:textId="77777777" w:rsidR="00B006AE" w:rsidRDefault="00B006AE" w:rsidP="002E5A8B">
      <w:pPr>
        <w:pStyle w:val="Heading2"/>
      </w:pPr>
      <w:r>
        <w:t>What are the pros/cons of using other tests beyond the TRC?</w:t>
      </w:r>
    </w:p>
    <w:p w14:paraId="5A2B52DF" w14:textId="77777777" w:rsidR="002B364B" w:rsidRDefault="002B364B" w:rsidP="00B006AE">
      <w:pPr>
        <w:autoSpaceDE w:val="0"/>
        <w:autoSpaceDN w:val="0"/>
      </w:pPr>
      <w:r>
        <w:t xml:space="preserve">It is SCE understanding that EE Program cost-effectiveness changes will be considered </w:t>
      </w:r>
      <w:r w:rsidRPr="00206D79">
        <w:t>in Phase III of the Energy Efficiency proceeding</w:t>
      </w:r>
      <w:r>
        <w:rPr>
          <w:rStyle w:val="FootnoteReference"/>
          <w:sz w:val="24"/>
          <w:szCs w:val="24"/>
        </w:rPr>
        <w:footnoteReference w:id="6"/>
      </w:r>
      <w:r>
        <w:t xml:space="preserve">, and </w:t>
      </w:r>
      <w:r w:rsidR="00B006AE" w:rsidRPr="00206D79">
        <w:t xml:space="preserve">SCE encourages the continued use of the TRC test until </w:t>
      </w:r>
      <w:r w:rsidR="00C916DF">
        <w:t xml:space="preserve">formal changes to EE cost-effectiveness requirements are </w:t>
      </w:r>
      <w:r>
        <w:t>ruled upon. The impacts of c</w:t>
      </w:r>
      <w:r w:rsidR="00B81085">
        <w:t xml:space="preserve">ost-effectiveness policy changes could </w:t>
      </w:r>
      <w:r>
        <w:t xml:space="preserve">be </w:t>
      </w:r>
      <w:r w:rsidR="00B81085">
        <w:t>significant</w:t>
      </w:r>
      <w:r>
        <w:t xml:space="preserve">, and </w:t>
      </w:r>
      <w:r w:rsidR="00B81085">
        <w:t>change the EE program landscape</w:t>
      </w:r>
      <w:r>
        <w:t xml:space="preserve">. Because cost-effectiveness could be affect the EE programs ability to capture EE savings, assuring congruence between EE program </w:t>
      </w:r>
      <w:r w:rsidR="006329A3">
        <w:t>goals</w:t>
      </w:r>
      <w:r>
        <w:t xml:space="preserve">, and EE program </w:t>
      </w:r>
      <w:r w:rsidR="006329A3">
        <w:t>requirements must be maintained.</w:t>
      </w:r>
    </w:p>
    <w:p w14:paraId="4B172DDF" w14:textId="77777777" w:rsidR="00B006AE" w:rsidRPr="00206D79" w:rsidRDefault="006329A3" w:rsidP="00B006AE">
      <w:pPr>
        <w:autoSpaceDE w:val="0"/>
        <w:autoSpaceDN w:val="0"/>
      </w:pPr>
      <w:r>
        <w:t>SCE encourages i</w:t>
      </w:r>
      <w:r w:rsidR="00B006AE" w:rsidRPr="00206D79">
        <w:t xml:space="preserve">nvestigating alternative cost-effectiveness </w:t>
      </w:r>
      <w:r w:rsidR="00B81085">
        <w:t>calculations</w:t>
      </w:r>
      <w:r>
        <w:t>, and assessing the impacts of changes on EE programs ability to capture savings.</w:t>
      </w:r>
      <w:r w:rsidR="00B006AE" w:rsidRPr="00206D79">
        <w:t xml:space="preserve"> </w:t>
      </w:r>
      <w:r>
        <w:t xml:space="preserve">Further </w:t>
      </w:r>
      <w:r w:rsidR="00B006AE" w:rsidRPr="00206D79">
        <w:t>SCE encourages said alternatives to be a useful modeling toggle</w:t>
      </w:r>
      <w:r w:rsidR="00FF6B43" w:rsidRPr="00206D79">
        <w:t xml:space="preserve"> to be included in the Scenario section above</w:t>
      </w:r>
      <w:r w:rsidR="00B006AE" w:rsidRPr="00206D79">
        <w:t xml:space="preserve">. </w:t>
      </w:r>
    </w:p>
    <w:p w14:paraId="53479D53" w14:textId="77777777" w:rsidR="00B006AE" w:rsidRDefault="00B006AE" w:rsidP="002E5A8B">
      <w:pPr>
        <w:pStyle w:val="Heading2"/>
      </w:pPr>
      <w:r>
        <w:t>What should the threshold be? Past threshold was TRC = 0.85 (with allowance of 0.5 for Emerging Tech)</w:t>
      </w:r>
    </w:p>
    <w:p w14:paraId="7D6B66C5" w14:textId="226ABA3D" w:rsidR="00FF6B43" w:rsidRPr="00206D79" w:rsidRDefault="00B006AE" w:rsidP="00FF6B43">
      <w:pPr>
        <w:autoSpaceDE w:val="0"/>
        <w:autoSpaceDN w:val="0"/>
      </w:pPr>
      <w:r w:rsidRPr="00206D79">
        <w:t xml:space="preserve">Without codes and standard, the portfolio of programs, including non-resources cost, </w:t>
      </w:r>
      <w:r w:rsidR="00FF6B43" w:rsidRPr="00206D79">
        <w:t xml:space="preserve">were required to attain a minimum </w:t>
      </w:r>
      <w:r w:rsidRPr="00206D79">
        <w:t xml:space="preserve">TRC test </w:t>
      </w:r>
      <w:r w:rsidR="00FF6B43" w:rsidRPr="00206D79">
        <w:t xml:space="preserve">score </w:t>
      </w:r>
      <w:r w:rsidRPr="00206D79">
        <w:t xml:space="preserve">of 1.0. </w:t>
      </w:r>
    </w:p>
    <w:p w14:paraId="1C5289CE" w14:textId="77777777" w:rsidR="00B006AE" w:rsidRPr="00206D79" w:rsidRDefault="00FF6B43" w:rsidP="009E0F2A">
      <w:pPr>
        <w:autoSpaceDE w:val="0"/>
        <w:autoSpaceDN w:val="0"/>
      </w:pPr>
      <w:r w:rsidRPr="00206D79">
        <w:t>T</w:t>
      </w:r>
      <w:r w:rsidR="00B006AE" w:rsidRPr="00206D79">
        <w:t xml:space="preserve">he </w:t>
      </w:r>
      <w:r w:rsidRPr="00206D79">
        <w:t xml:space="preserve">2017 PG </w:t>
      </w:r>
      <w:r w:rsidR="00B006AE" w:rsidRPr="00206D79">
        <w:t xml:space="preserve">should be aligned with </w:t>
      </w:r>
      <w:r w:rsidRPr="00206D79">
        <w:t xml:space="preserve">current TRC </w:t>
      </w:r>
      <w:r w:rsidR="00B006AE" w:rsidRPr="00206D79">
        <w:t xml:space="preserve">portfolio </w:t>
      </w:r>
      <w:r w:rsidRPr="00206D79">
        <w:t>requirement</w:t>
      </w:r>
      <w:r w:rsidR="00B006AE" w:rsidRPr="00206D79">
        <w:t xml:space="preserve">. All </w:t>
      </w:r>
      <w:r w:rsidRPr="00206D79">
        <w:t xml:space="preserve">EE </w:t>
      </w:r>
      <w:r w:rsidR="00B006AE" w:rsidRPr="00206D79">
        <w:t>potential</w:t>
      </w:r>
      <w:r w:rsidRPr="00206D79">
        <w:t xml:space="preserve"> goal calculations</w:t>
      </w:r>
      <w:r w:rsidR="00B006AE" w:rsidRPr="00206D79">
        <w:t xml:space="preserve"> should meet the TRC threshold of .85 with no exception for new technologies or approaches</w:t>
      </w:r>
      <w:r w:rsidRPr="00206D79">
        <w:t xml:space="preserve">.  But SCE </w:t>
      </w:r>
      <w:r w:rsidR="00B30FF9" w:rsidRPr="00206D79">
        <w:t>encourages</w:t>
      </w:r>
      <w:r w:rsidRPr="00206D79">
        <w:t xml:space="preserve"> </w:t>
      </w:r>
      <w:r w:rsidR="00B30FF9" w:rsidRPr="00206D79">
        <w:t>uncertainty</w:t>
      </w:r>
      <w:r w:rsidRPr="00206D79">
        <w:t xml:space="preserve"> </w:t>
      </w:r>
      <w:r w:rsidR="00B006AE" w:rsidRPr="00206D79">
        <w:t>scenarios</w:t>
      </w:r>
      <w:r w:rsidRPr="00206D79">
        <w:t xml:space="preserve"> to provide </w:t>
      </w:r>
      <w:r w:rsidR="00B30FF9" w:rsidRPr="00206D79">
        <w:t>a “</w:t>
      </w:r>
      <w:r w:rsidRPr="00206D79">
        <w:t>what if</w:t>
      </w:r>
      <w:r w:rsidR="00B30FF9" w:rsidRPr="00206D79">
        <w:t>”</w:t>
      </w:r>
      <w:r w:rsidRPr="00206D79">
        <w:t xml:space="preserve"> guide to possible policy changes</w:t>
      </w:r>
      <w:r w:rsidR="009E0F2A" w:rsidRPr="00206D79">
        <w:t>.</w:t>
      </w:r>
      <w:r w:rsidR="00B006AE" w:rsidRPr="00206D79">
        <w:t xml:space="preserve"> </w:t>
      </w:r>
    </w:p>
    <w:p w14:paraId="257D6F97" w14:textId="77777777" w:rsidR="00FF6B43" w:rsidRPr="00206D79" w:rsidRDefault="00FF6B43" w:rsidP="00FF6B43">
      <w:pPr>
        <w:autoSpaceDE w:val="0"/>
        <w:autoSpaceDN w:val="0"/>
      </w:pPr>
      <w:r w:rsidRPr="00206D79">
        <w:t>SCE has d</w:t>
      </w:r>
      <w:r w:rsidR="00C916DF">
        <w:t>ramatically reduced program budgets on</w:t>
      </w:r>
      <w:r w:rsidRPr="00206D79">
        <w:t xml:space="preserve"> non-cost-effective progr</w:t>
      </w:r>
      <w:r w:rsidR="00185FAC" w:rsidRPr="00206D79">
        <w:t>am activities to maintain the required cost-effectiveness requirement</w:t>
      </w:r>
      <w:r w:rsidRPr="00206D79">
        <w:t>. With recent policy changes in moving to an existing baseline, SCE anticipates a tempered programmatic response due to the challenge for a program to carry the full cost associated with below/to-code measures, a challenge seen in the Home Upgrade program. Additionally, BROs savings opportunities will need time to allow new approaches to help inform EE programmatic cost, savings and certainty. This need is further magnified with the transition to Third Party and Statewide Administration. </w:t>
      </w:r>
    </w:p>
    <w:p w14:paraId="582EBFD5" w14:textId="77777777" w:rsidR="00B006AE" w:rsidRDefault="00B006AE" w:rsidP="002E5A8B">
      <w:pPr>
        <w:pStyle w:val="Heading2"/>
      </w:pPr>
      <w:r>
        <w:t>Should the threshold</w:t>
      </w:r>
      <w:r w:rsidR="006F2E99">
        <w:t>s</w:t>
      </w:r>
      <w:r>
        <w:t xml:space="preserve"> vary by technology?</w:t>
      </w:r>
    </w:p>
    <w:p w14:paraId="14822F44" w14:textId="77777777" w:rsidR="00816872" w:rsidRPr="00206D79" w:rsidRDefault="00CD732E" w:rsidP="00206D79">
      <w:pPr>
        <w:autoSpaceDE w:val="0"/>
        <w:autoSpaceDN w:val="0"/>
      </w:pPr>
      <w:r w:rsidRPr="00206D79">
        <w:t xml:space="preserve">In the 2015 PG study, </w:t>
      </w:r>
      <w:r w:rsidR="00212A33" w:rsidRPr="00206D79">
        <w:t>stu</w:t>
      </w:r>
      <w:r w:rsidR="006F2E99">
        <w:t>dy methodology allowed for cost-</w:t>
      </w:r>
      <w:r w:rsidR="00212A33" w:rsidRPr="00206D79">
        <w:t xml:space="preserve">effectiveness to vary between regular program measures and emerging technologies (ETs).  SCE lobbied </w:t>
      </w:r>
      <w:r w:rsidR="00816872" w:rsidRPr="00206D79">
        <w:t xml:space="preserve">against </w:t>
      </w:r>
      <w:r w:rsidR="00212A33" w:rsidRPr="00206D79">
        <w:t>this preferential treatment of measure</w:t>
      </w:r>
      <w:r w:rsidR="00816872" w:rsidRPr="00206D79">
        <w:t>s</w:t>
      </w:r>
      <w:r w:rsidR="00212A33" w:rsidRPr="00206D79">
        <w:t xml:space="preserve"> then, and continue to lobby against such preferential treatment today.  </w:t>
      </w:r>
    </w:p>
    <w:p w14:paraId="615BF1DB" w14:textId="77777777" w:rsidR="00816872" w:rsidRPr="00206D79" w:rsidRDefault="00816872" w:rsidP="00206D79">
      <w:pPr>
        <w:autoSpaceDE w:val="0"/>
        <w:autoSpaceDN w:val="0"/>
      </w:pPr>
    </w:p>
    <w:p w14:paraId="1F5A5A91" w14:textId="778FFE3E" w:rsidR="00CD732E" w:rsidRPr="00206D79" w:rsidRDefault="00212A33" w:rsidP="00206D79">
      <w:pPr>
        <w:autoSpaceDE w:val="0"/>
        <w:autoSpaceDN w:val="0"/>
      </w:pPr>
      <w:r w:rsidRPr="00206D79">
        <w:t>By law</w:t>
      </w:r>
      <w:r>
        <w:rPr>
          <w:rStyle w:val="FootnoteReference"/>
          <w:sz w:val="24"/>
          <w:szCs w:val="24"/>
        </w:rPr>
        <w:footnoteReference w:id="7"/>
      </w:r>
      <w:r>
        <w:rPr>
          <w:sz w:val="24"/>
          <w:szCs w:val="24"/>
        </w:rPr>
        <w:t xml:space="preserve"> </w:t>
      </w:r>
      <w:r w:rsidR="008968DC" w:rsidRPr="00206D79">
        <w:t>and in many CPUC Decisions</w:t>
      </w:r>
      <w:r w:rsidR="008968DC" w:rsidRPr="003672D9">
        <w:rPr>
          <w:rStyle w:val="FootnoteReference"/>
          <w:sz w:val="24"/>
          <w:szCs w:val="24"/>
        </w:rPr>
        <w:footnoteReference w:id="8"/>
      </w:r>
      <w:r w:rsidR="003672D9">
        <w:t>,</w:t>
      </w:r>
      <w:r w:rsidR="00972806">
        <w:t xml:space="preserve"> </w:t>
      </w:r>
      <w:r w:rsidRPr="00206D79">
        <w:t xml:space="preserve">IOU </w:t>
      </w:r>
      <w:r w:rsidR="005E7D9B" w:rsidRPr="00206D79">
        <w:t xml:space="preserve">entire </w:t>
      </w:r>
      <w:r w:rsidR="00816872" w:rsidRPr="00206D79">
        <w:t xml:space="preserve">EE </w:t>
      </w:r>
      <w:r w:rsidRPr="00206D79">
        <w:t>portfolios are required to b</w:t>
      </w:r>
      <w:r w:rsidR="005E7D9B" w:rsidRPr="00206D79">
        <w:t>e cost-effective regardless i</w:t>
      </w:r>
      <w:r w:rsidRPr="00206D79">
        <w:t xml:space="preserve">f </w:t>
      </w:r>
      <w:r w:rsidR="005E7D9B" w:rsidRPr="00206D79">
        <w:t>the portfolio contains un</w:t>
      </w:r>
      <w:r w:rsidR="006329A3">
        <w:t>-</w:t>
      </w:r>
      <w:r w:rsidR="005E7D9B" w:rsidRPr="00206D79">
        <w:t>cost-effective measures or activities.  Because EE programs do include measures</w:t>
      </w:r>
      <w:r w:rsidR="00816872" w:rsidRPr="00206D79">
        <w:t xml:space="preserve"> or activities</w:t>
      </w:r>
      <w:r w:rsidR="005E7D9B" w:rsidRPr="00206D79">
        <w:t xml:space="preserve"> that don’t pass the TRC cost-effectiveness test</w:t>
      </w:r>
      <w:r w:rsidR="00816872" w:rsidRPr="00206D79">
        <w:t xml:space="preserve">, an </w:t>
      </w:r>
      <w:r w:rsidR="00816872" w:rsidRPr="006F2E99">
        <w:t>argument was waged</w:t>
      </w:r>
      <w:r w:rsidR="00816872">
        <w:rPr>
          <w:sz w:val="24"/>
          <w:szCs w:val="24"/>
        </w:rPr>
        <w:t xml:space="preserve"> </w:t>
      </w:r>
      <w:r w:rsidR="00816872" w:rsidRPr="00206D79">
        <w:t>to treat the cost-effeteness of ET measure differently (.5) than other measure requirements (.85).  This methodological difference caused ET measure to pas</w:t>
      </w:r>
      <w:r w:rsidR="009E0F2A" w:rsidRPr="00206D79">
        <w:t>s</w:t>
      </w:r>
      <w:r w:rsidR="00816872" w:rsidRPr="00206D79">
        <w:t xml:space="preserve"> the cost-effectiveness screen with a score of .5, and increased IOU EE savings goals with un</w:t>
      </w:r>
      <w:r w:rsidR="006329A3">
        <w:t>-</w:t>
      </w:r>
      <w:r w:rsidR="00816872" w:rsidRPr="00206D79">
        <w:t>cost-effective measures and unreasonably overinflated program savings potential.</w:t>
      </w:r>
    </w:p>
    <w:p w14:paraId="0ED4C11B" w14:textId="77777777" w:rsidR="00816872" w:rsidRPr="00206D79" w:rsidRDefault="00816872" w:rsidP="00CD732E">
      <w:pPr>
        <w:autoSpaceDE w:val="0"/>
        <w:autoSpaceDN w:val="0"/>
        <w:spacing w:after="0" w:line="240" w:lineRule="auto"/>
      </w:pPr>
      <w:r w:rsidRPr="00206D79">
        <w:t xml:space="preserve">For a </w:t>
      </w:r>
      <w:r w:rsidR="00B30FF9" w:rsidRPr="00206D79">
        <w:t>variety</w:t>
      </w:r>
      <w:r w:rsidRPr="00206D79">
        <w:t xml:space="preserve"> of reasons (reductions of Avoided </w:t>
      </w:r>
      <w:r w:rsidR="00B30FF9" w:rsidRPr="00206D79">
        <w:t>Costs</w:t>
      </w:r>
      <w:r w:rsidRPr="00206D79">
        <w:t>, C&amp;S increase</w:t>
      </w:r>
      <w:r w:rsidR="00B30FF9" w:rsidRPr="00206D79">
        <w:t>s</w:t>
      </w:r>
      <w:r w:rsidRPr="00206D79">
        <w:t xml:space="preserve">, </w:t>
      </w:r>
      <w:r w:rsidR="00B30FF9" w:rsidRPr="00206D79">
        <w:t>etc.</w:t>
      </w:r>
      <w:r w:rsidRPr="00206D79">
        <w:t>) EE portfolio cost-effective</w:t>
      </w:r>
      <w:r w:rsidR="00B30FF9" w:rsidRPr="00206D79">
        <w:t>ness</w:t>
      </w:r>
      <w:r w:rsidRPr="00206D79">
        <w:t xml:space="preserve"> are at historic lows</w:t>
      </w:r>
      <w:r w:rsidR="00B30FF9" w:rsidRPr="00206D79">
        <w:t>, and now strategically consider the inclusion of un</w:t>
      </w:r>
      <w:r w:rsidR="006329A3">
        <w:t>-</w:t>
      </w:r>
      <w:r w:rsidR="00B30FF9" w:rsidRPr="00206D79">
        <w:t>cost-effective measures in the portfolio</w:t>
      </w:r>
      <w:r w:rsidR="00307C4F">
        <w:t xml:space="preserve"> to achieve specific mandates of the portfolio</w:t>
      </w:r>
      <w:r w:rsidR="00B30FF9" w:rsidRPr="00206D79">
        <w:t xml:space="preserve">.  </w:t>
      </w:r>
    </w:p>
    <w:p w14:paraId="1300E20F" w14:textId="77777777" w:rsidR="00816872" w:rsidRPr="00206D79" w:rsidRDefault="00816872" w:rsidP="00CD732E">
      <w:pPr>
        <w:autoSpaceDE w:val="0"/>
        <w:autoSpaceDN w:val="0"/>
        <w:spacing w:after="0" w:line="240" w:lineRule="auto"/>
      </w:pPr>
    </w:p>
    <w:p w14:paraId="23ED043C" w14:textId="77777777" w:rsidR="00816872" w:rsidRPr="00206D79" w:rsidRDefault="00B30FF9" w:rsidP="00CD732E">
      <w:pPr>
        <w:autoSpaceDE w:val="0"/>
        <w:autoSpaceDN w:val="0"/>
        <w:spacing w:after="0" w:line="240" w:lineRule="auto"/>
      </w:pPr>
      <w:r w:rsidRPr="00206D79">
        <w:t>To be clear, SCE is not adverse for a cost-effectiveness TRC screen below 1, but SCE seeks a reasonable cost-effectiveness screen that accounts for the new lower portfolio cost-effectiveness scores that severely limit EE program ability to introduce un</w:t>
      </w:r>
      <w:r w:rsidR="006329A3">
        <w:t>-</w:t>
      </w:r>
      <w:r w:rsidRPr="00206D79">
        <w:t>cost-effective measures.</w:t>
      </w:r>
    </w:p>
    <w:p w14:paraId="56C840C5" w14:textId="77777777" w:rsidR="0036143C" w:rsidRDefault="0036143C" w:rsidP="007534CE">
      <w:pPr>
        <w:pStyle w:val="Heading1"/>
        <w:numPr>
          <w:ilvl w:val="0"/>
          <w:numId w:val="36"/>
        </w:numPr>
      </w:pPr>
      <w:r>
        <w:t>Conclusion</w:t>
      </w:r>
    </w:p>
    <w:p w14:paraId="5B69B0A3" w14:textId="737773C0" w:rsidR="00FC7CFA" w:rsidRDefault="00FC7CFA" w:rsidP="00C24C37">
      <w:r>
        <w:t xml:space="preserve">SCE suggests to maintain current calibration methodology to best align with programmatic and portfolio requirements. Additionally, SCE suggests to utilize a consistent cost-effectiveness screen, agnostic of technology, across the portfolio to best align with program reality, </w:t>
      </w:r>
      <w:r w:rsidR="00972806">
        <w:t xml:space="preserve">and </w:t>
      </w:r>
      <w:r>
        <w:t>expectations.</w:t>
      </w:r>
    </w:p>
    <w:p w14:paraId="00AA4CB6" w14:textId="6E2634A1" w:rsidR="00F048DF" w:rsidRDefault="00080382" w:rsidP="00C24C37">
      <w:r>
        <w:t xml:space="preserve">SCE strongly suggests that </w:t>
      </w:r>
      <w:r w:rsidR="00423BB3">
        <w:t xml:space="preserve">realistic scenarios </w:t>
      </w:r>
      <w:r>
        <w:t xml:space="preserve">be </w:t>
      </w:r>
      <w:r w:rsidR="00423BB3">
        <w:t>built</w:t>
      </w:r>
      <w:r>
        <w:t xml:space="preserve"> that explicitly bound (ex., High, Medium, Low) said limits on capturing EE savings.</w:t>
      </w:r>
      <w:r w:rsidR="000A626E">
        <w:t xml:space="preserve"> Uncertainty will vary by a program’s ability to capture and realize savings associated with</w:t>
      </w:r>
      <w:r w:rsidR="00FC7CFA">
        <w:t xml:space="preserve"> new areas of exploration (i.e. BROs, below code, etc.). Scenarios can demonstrate varying certainty for each</w:t>
      </w:r>
      <w:r w:rsidR="000A626E">
        <w:t xml:space="preserve"> </w:t>
      </w:r>
      <w:r w:rsidR="00FC7CFA">
        <w:t>new programmatic activity to best capture appropriate programmatic realities. F</w:t>
      </w:r>
      <w:r w:rsidR="000A626E">
        <w:t xml:space="preserve">or example, Behavioral offerings in the residential sector have much more historical data and certainty then industrial operational savings. Various scenarios can be applied in a combination that best reflect data limitations and opportunity for the EE portfolio. </w:t>
      </w:r>
      <w:r>
        <w:t xml:space="preserve"> Once said scenarios are built, the goal setting process </w:t>
      </w:r>
      <w:r w:rsidR="003672D9">
        <w:t xml:space="preserve">can </w:t>
      </w:r>
      <w:r>
        <w:t>be optimized</w:t>
      </w:r>
      <w:r w:rsidR="0043291D">
        <w:t xml:space="preserve"> to explicitly account for </w:t>
      </w:r>
      <w:r>
        <w:t xml:space="preserve">limiting </w:t>
      </w:r>
      <w:r w:rsidR="00F048DF">
        <w:t>effects o</w:t>
      </w:r>
      <w:r w:rsidR="00423BB3">
        <w:t xml:space="preserve">n </w:t>
      </w:r>
      <w:r w:rsidR="00F048DF">
        <w:t xml:space="preserve">EE programs ability to capture savings.  </w:t>
      </w:r>
    </w:p>
    <w:p w14:paraId="204DA063" w14:textId="77777777" w:rsidR="003672D9" w:rsidRDefault="003672D9" w:rsidP="003672D9">
      <w:r>
        <w:t>SCE would like to commend the Public Utilities Commission staff, and Navigant Consulting (Navigant) for their collaboration efforts.  SCE would like to request the status of past comments be communicated, which would aide evaluations of model outputs once received.</w:t>
      </w:r>
    </w:p>
    <w:sectPr w:rsidR="003672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EE289" w14:textId="77777777" w:rsidR="00A97D5B" w:rsidRDefault="00A97D5B" w:rsidP="00F91623">
      <w:pPr>
        <w:spacing w:after="0" w:line="240" w:lineRule="auto"/>
      </w:pPr>
      <w:r>
        <w:separator/>
      </w:r>
    </w:p>
  </w:endnote>
  <w:endnote w:type="continuationSeparator" w:id="0">
    <w:p w14:paraId="04E7A345" w14:textId="77777777" w:rsidR="00A97D5B" w:rsidRDefault="00A97D5B" w:rsidP="00F91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JDAON I+ Frutiger LT Std">
    <w:altName w:val="Frutiger LT Std"/>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JCCCH L+ Frutiger LT Std">
    <w:altName w:val="Frutiger LT Std"/>
    <w:panose1 w:val="00000000000000000000"/>
    <w:charset w:val="00"/>
    <w:family w:val="swiss"/>
    <w:notTrueType/>
    <w:pitch w:val="default"/>
    <w:sig w:usb0="00000003" w:usb1="00000000" w:usb2="00000000" w:usb3="00000000" w:csb0="00000001" w:csb1="00000000"/>
  </w:font>
  <w:font w:name="JCCCH M+ Frutiger LT Std">
    <w:altName w:val="Frutiger LT Std"/>
    <w:panose1 w:val="00000000000000000000"/>
    <w:charset w:val="00"/>
    <w:family w:val="swiss"/>
    <w:notTrueType/>
    <w:pitch w:val="default"/>
    <w:sig w:usb0="00000003" w:usb1="00000000" w:usb2="00000000" w:usb3="00000000" w:csb0="00000001" w:csb1="00000000"/>
  </w:font>
  <w:font w:name="JDAOP K+ Frutiger LT Std">
    <w:altName w:val="Frutiger LT Std"/>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9ECD98" w14:textId="77777777" w:rsidR="00A97D5B" w:rsidRDefault="00A97D5B" w:rsidP="00F91623">
      <w:pPr>
        <w:spacing w:after="0" w:line="240" w:lineRule="auto"/>
      </w:pPr>
      <w:r>
        <w:separator/>
      </w:r>
    </w:p>
  </w:footnote>
  <w:footnote w:type="continuationSeparator" w:id="0">
    <w:p w14:paraId="0A2D123D" w14:textId="77777777" w:rsidR="00A97D5B" w:rsidRDefault="00A97D5B" w:rsidP="00F91623">
      <w:pPr>
        <w:spacing w:after="0" w:line="240" w:lineRule="auto"/>
      </w:pPr>
      <w:r>
        <w:continuationSeparator/>
      </w:r>
    </w:p>
  </w:footnote>
  <w:footnote w:id="1">
    <w:p w14:paraId="39036D57" w14:textId="77777777" w:rsidR="0084114B" w:rsidRPr="00706DD3" w:rsidRDefault="0084114B" w:rsidP="00706DD3">
      <w:pPr>
        <w:autoSpaceDE w:val="0"/>
        <w:autoSpaceDN w:val="0"/>
        <w:adjustRightInd w:val="0"/>
        <w:spacing w:before="3" w:after="0" w:line="240" w:lineRule="auto"/>
        <w:rPr>
          <w:sz w:val="20"/>
          <w:szCs w:val="20"/>
        </w:rPr>
      </w:pPr>
      <w:r>
        <w:rPr>
          <w:rStyle w:val="FootnoteReference"/>
        </w:rPr>
        <w:footnoteRef/>
      </w:r>
      <w:r>
        <w:t xml:space="preserve"> </w:t>
      </w:r>
      <w:r w:rsidRPr="009215DF">
        <w:rPr>
          <w:sz w:val="20"/>
          <w:szCs w:val="20"/>
        </w:rPr>
        <w:t>Demand Analysis Working Group Meeting, July 19 2016 Energy Savings Subgroup Meeting – Navigant Consulting – “DAWG July 19 – 2</w:t>
      </w:r>
      <w:r w:rsidR="00706DD3">
        <w:rPr>
          <w:sz w:val="20"/>
          <w:szCs w:val="20"/>
        </w:rPr>
        <w:t>018 and Beyond Study Scope.pdf”</w:t>
      </w:r>
    </w:p>
  </w:footnote>
  <w:footnote w:id="2">
    <w:p w14:paraId="53866C1C" w14:textId="77777777" w:rsidR="00F649DC" w:rsidRDefault="00F649DC" w:rsidP="00F649DC">
      <w:pPr>
        <w:pStyle w:val="FootnoteText"/>
      </w:pPr>
      <w:r>
        <w:rPr>
          <w:rStyle w:val="FootnoteReference"/>
        </w:rPr>
        <w:footnoteRef/>
      </w:r>
      <w:r>
        <w:t xml:space="preserve"> </w:t>
      </w:r>
      <w:r w:rsidRPr="00C1622F">
        <w:t>PU Code 454.5(b)(9)(C)</w:t>
      </w:r>
    </w:p>
  </w:footnote>
  <w:footnote w:id="3">
    <w:p w14:paraId="66EE4F47" w14:textId="77777777" w:rsidR="001F2B63" w:rsidRDefault="001F2B63" w:rsidP="001F2B63">
      <w:pPr>
        <w:pStyle w:val="FootnoteText"/>
      </w:pPr>
      <w:r>
        <w:rPr>
          <w:rStyle w:val="FootnoteReference"/>
        </w:rPr>
        <w:footnoteRef/>
      </w:r>
      <w:r>
        <w:t xml:space="preserve"> Energy Action Plan 2008 Update, February 2008</w:t>
      </w:r>
    </w:p>
  </w:footnote>
  <w:footnote w:id="4">
    <w:p w14:paraId="6CF384AE" w14:textId="5648F4EF" w:rsidR="00C447D1" w:rsidRDefault="00C447D1" w:rsidP="00C447D1">
      <w:pPr>
        <w:pStyle w:val="FootnoteText"/>
      </w:pPr>
      <w:r>
        <w:rPr>
          <w:rStyle w:val="FootnoteReference"/>
        </w:rPr>
        <w:footnoteRef/>
      </w:r>
      <w:r>
        <w:t xml:space="preserve"> Assigned Commissioner’s Ruling Adopting Assumptions and Scenarios for Use in the California Independent System Operator’s 2016-2017  Transmission Planning Process and Future Commission Proceedings, R.13-12-010, page 52</w:t>
      </w:r>
    </w:p>
  </w:footnote>
  <w:footnote w:id="5">
    <w:p w14:paraId="5F644037" w14:textId="77777777" w:rsidR="0084114B" w:rsidRDefault="0084114B">
      <w:pPr>
        <w:pStyle w:val="FootnoteText"/>
      </w:pPr>
      <w:r>
        <w:rPr>
          <w:rStyle w:val="FootnoteReference"/>
        </w:rPr>
        <w:footnoteRef/>
      </w:r>
      <w:r>
        <w:t xml:space="preserve"> </w:t>
      </w:r>
      <w:r>
        <w:rPr>
          <w:rFonts w:cs="JCCCH L+ Frutiger LT Std"/>
          <w:color w:val="211D1E"/>
          <w:sz w:val="21"/>
          <w:szCs w:val="21"/>
        </w:rPr>
        <w:t xml:space="preserve">National Action Plan for Energy Efficiency (2007). </w:t>
      </w:r>
      <w:r>
        <w:rPr>
          <w:rFonts w:ascii="JCCCH M+ Frutiger LT Std" w:hAnsi="JCCCH M+ Frutiger LT Std" w:cs="JCCCH M+ Frutiger LT Std"/>
          <w:i/>
          <w:iCs/>
          <w:color w:val="211D1E"/>
          <w:sz w:val="21"/>
          <w:szCs w:val="21"/>
        </w:rPr>
        <w:t>Guide to Resource Planning with Energy Efficiency</w:t>
      </w:r>
      <w:r>
        <w:rPr>
          <w:rFonts w:cs="JCCCH L+ Frutiger LT Std"/>
          <w:color w:val="211D1E"/>
          <w:sz w:val="21"/>
          <w:szCs w:val="21"/>
        </w:rPr>
        <w:t xml:space="preserve">. Prepared by Snuller Price et al., Energy and Environmental Economics, Inc. </w:t>
      </w:r>
      <w:hyperlink r:id="rId1" w:history="1">
        <w:r w:rsidRPr="00CA74F1">
          <w:rPr>
            <w:rStyle w:val="Hyperlink"/>
            <w:rFonts w:cs="JCCCH L+ Frutiger LT Std"/>
            <w:sz w:val="21"/>
            <w:szCs w:val="21"/>
          </w:rPr>
          <w:t>www.epa.gov/eeactionplanm</w:t>
        </w:r>
      </w:hyperlink>
      <w:r>
        <w:rPr>
          <w:rFonts w:cs="JCCCH L+ Frutiger LT Std"/>
          <w:color w:val="211D1E"/>
          <w:sz w:val="21"/>
          <w:szCs w:val="21"/>
        </w:rPr>
        <w:t xml:space="preserve"> page 2-2</w:t>
      </w:r>
    </w:p>
  </w:footnote>
  <w:footnote w:id="6">
    <w:p w14:paraId="24006DA0" w14:textId="77777777" w:rsidR="002B364B" w:rsidRDefault="002B364B" w:rsidP="002B364B">
      <w:pPr>
        <w:pStyle w:val="FootnoteText"/>
      </w:pPr>
      <w:r>
        <w:rPr>
          <w:rStyle w:val="FootnoteReference"/>
        </w:rPr>
        <w:footnoteRef/>
      </w:r>
      <w:r>
        <w:t xml:space="preserve"> Rulemaking 13-11-005 – D.16-08-019</w:t>
      </w:r>
    </w:p>
  </w:footnote>
  <w:footnote w:id="7">
    <w:p w14:paraId="3F7A5F54" w14:textId="77777777" w:rsidR="00212A33" w:rsidRDefault="00212A33">
      <w:pPr>
        <w:pStyle w:val="FootnoteText"/>
      </w:pPr>
      <w:r>
        <w:rPr>
          <w:rStyle w:val="FootnoteReference"/>
        </w:rPr>
        <w:footnoteRef/>
      </w:r>
      <w:r>
        <w:t xml:space="preserve"> </w:t>
      </w:r>
      <w:r w:rsidRPr="00C1622F">
        <w:t>PU Code 454.5(b)(9)(C)</w:t>
      </w:r>
    </w:p>
  </w:footnote>
  <w:footnote w:id="8">
    <w:p w14:paraId="54A7E8F0" w14:textId="77777777" w:rsidR="008968DC" w:rsidRDefault="008968DC">
      <w:pPr>
        <w:pStyle w:val="FootnoteText"/>
      </w:pPr>
      <w:r>
        <w:rPr>
          <w:rStyle w:val="FootnoteReference"/>
        </w:rPr>
        <w:footnoteRef/>
      </w:r>
      <w:r>
        <w:t xml:space="preserve"> </w:t>
      </w:r>
      <w:r w:rsidRPr="00080382">
        <w:t>D05-04-051, April 21 2005, OP 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B3E57CB"/>
    <w:multiLevelType w:val="hybridMultilevel"/>
    <w:tmpl w:val="9A6EE05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8B5474C"/>
    <w:multiLevelType w:val="hybridMultilevel"/>
    <w:tmpl w:val="37D13AD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8AFB3A"/>
    <w:multiLevelType w:val="hybridMultilevel"/>
    <w:tmpl w:val="5621CA9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4FB3C71"/>
    <w:multiLevelType w:val="hybridMultilevel"/>
    <w:tmpl w:val="FCD40E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5BA5018"/>
    <w:multiLevelType w:val="hybridMultilevel"/>
    <w:tmpl w:val="E15C3F2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A8E1B50"/>
    <w:multiLevelType w:val="hybridMultilevel"/>
    <w:tmpl w:val="42529090"/>
    <w:lvl w:ilvl="0" w:tplc="EC564736">
      <w:start w:val="1"/>
      <w:numFmt w:val="bullet"/>
      <w:lvlText w:val="-"/>
      <w:lvlJc w:val="left"/>
      <w:pPr>
        <w:ind w:left="1424" w:hanging="360"/>
      </w:pPr>
      <w:rPr>
        <w:rFonts w:ascii="Calibri" w:eastAsiaTheme="minorHAnsi" w:hAnsi="Calibri" w:cs="Arial" w:hint="default"/>
      </w:rPr>
    </w:lvl>
    <w:lvl w:ilvl="1" w:tplc="04090003" w:tentative="1">
      <w:start w:val="1"/>
      <w:numFmt w:val="bullet"/>
      <w:lvlText w:val="o"/>
      <w:lvlJc w:val="left"/>
      <w:pPr>
        <w:ind w:left="2144" w:hanging="360"/>
      </w:pPr>
      <w:rPr>
        <w:rFonts w:ascii="Courier New" w:hAnsi="Courier New" w:cs="Courier New" w:hint="default"/>
      </w:rPr>
    </w:lvl>
    <w:lvl w:ilvl="2" w:tplc="04090005" w:tentative="1">
      <w:start w:val="1"/>
      <w:numFmt w:val="bullet"/>
      <w:lvlText w:val=""/>
      <w:lvlJc w:val="left"/>
      <w:pPr>
        <w:ind w:left="2864" w:hanging="360"/>
      </w:pPr>
      <w:rPr>
        <w:rFonts w:ascii="Wingdings" w:hAnsi="Wingdings" w:hint="default"/>
      </w:rPr>
    </w:lvl>
    <w:lvl w:ilvl="3" w:tplc="04090001" w:tentative="1">
      <w:start w:val="1"/>
      <w:numFmt w:val="bullet"/>
      <w:lvlText w:val=""/>
      <w:lvlJc w:val="left"/>
      <w:pPr>
        <w:ind w:left="3584" w:hanging="360"/>
      </w:pPr>
      <w:rPr>
        <w:rFonts w:ascii="Symbol" w:hAnsi="Symbol" w:hint="default"/>
      </w:rPr>
    </w:lvl>
    <w:lvl w:ilvl="4" w:tplc="04090003" w:tentative="1">
      <w:start w:val="1"/>
      <w:numFmt w:val="bullet"/>
      <w:lvlText w:val="o"/>
      <w:lvlJc w:val="left"/>
      <w:pPr>
        <w:ind w:left="4304" w:hanging="360"/>
      </w:pPr>
      <w:rPr>
        <w:rFonts w:ascii="Courier New" w:hAnsi="Courier New" w:cs="Courier New" w:hint="default"/>
      </w:rPr>
    </w:lvl>
    <w:lvl w:ilvl="5" w:tplc="04090005" w:tentative="1">
      <w:start w:val="1"/>
      <w:numFmt w:val="bullet"/>
      <w:lvlText w:val=""/>
      <w:lvlJc w:val="left"/>
      <w:pPr>
        <w:ind w:left="5024" w:hanging="360"/>
      </w:pPr>
      <w:rPr>
        <w:rFonts w:ascii="Wingdings" w:hAnsi="Wingdings" w:hint="default"/>
      </w:rPr>
    </w:lvl>
    <w:lvl w:ilvl="6" w:tplc="04090001" w:tentative="1">
      <w:start w:val="1"/>
      <w:numFmt w:val="bullet"/>
      <w:lvlText w:val=""/>
      <w:lvlJc w:val="left"/>
      <w:pPr>
        <w:ind w:left="5744" w:hanging="360"/>
      </w:pPr>
      <w:rPr>
        <w:rFonts w:ascii="Symbol" w:hAnsi="Symbol" w:hint="default"/>
      </w:rPr>
    </w:lvl>
    <w:lvl w:ilvl="7" w:tplc="04090003" w:tentative="1">
      <w:start w:val="1"/>
      <w:numFmt w:val="bullet"/>
      <w:lvlText w:val="o"/>
      <w:lvlJc w:val="left"/>
      <w:pPr>
        <w:ind w:left="6464" w:hanging="360"/>
      </w:pPr>
      <w:rPr>
        <w:rFonts w:ascii="Courier New" w:hAnsi="Courier New" w:cs="Courier New" w:hint="default"/>
      </w:rPr>
    </w:lvl>
    <w:lvl w:ilvl="8" w:tplc="04090005" w:tentative="1">
      <w:start w:val="1"/>
      <w:numFmt w:val="bullet"/>
      <w:lvlText w:val=""/>
      <w:lvlJc w:val="left"/>
      <w:pPr>
        <w:ind w:left="7184" w:hanging="360"/>
      </w:pPr>
      <w:rPr>
        <w:rFonts w:ascii="Wingdings" w:hAnsi="Wingdings" w:hint="default"/>
      </w:rPr>
    </w:lvl>
  </w:abstractNum>
  <w:abstractNum w:abstractNumId="6" w15:restartNumberingAfterBreak="0">
    <w:nsid w:val="0E2433F7"/>
    <w:multiLevelType w:val="hybridMultilevel"/>
    <w:tmpl w:val="1526988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E26C21"/>
    <w:multiLevelType w:val="hybridMultilevel"/>
    <w:tmpl w:val="1244F7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6AF64CA"/>
    <w:multiLevelType w:val="hybridMultilevel"/>
    <w:tmpl w:val="BC800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32697F"/>
    <w:multiLevelType w:val="hybridMultilevel"/>
    <w:tmpl w:val="F2C8A71A"/>
    <w:lvl w:ilvl="0" w:tplc="C2304E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859365A"/>
    <w:multiLevelType w:val="hybridMultilevel"/>
    <w:tmpl w:val="12B6458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E35F35"/>
    <w:multiLevelType w:val="hybridMultilevel"/>
    <w:tmpl w:val="37AC46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80283"/>
    <w:multiLevelType w:val="hybridMultilevel"/>
    <w:tmpl w:val="A72842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D10D39"/>
    <w:multiLevelType w:val="hybridMultilevel"/>
    <w:tmpl w:val="37AC46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FE6B0F"/>
    <w:multiLevelType w:val="hybridMultilevel"/>
    <w:tmpl w:val="D408C1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1A19DD"/>
    <w:multiLevelType w:val="hybridMultilevel"/>
    <w:tmpl w:val="40848A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7C048F"/>
    <w:multiLevelType w:val="hybridMultilevel"/>
    <w:tmpl w:val="0616F41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7866E5E"/>
    <w:multiLevelType w:val="hybridMultilevel"/>
    <w:tmpl w:val="075EDB7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5E6522"/>
    <w:multiLevelType w:val="hybridMultilevel"/>
    <w:tmpl w:val="3906295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18631E2"/>
    <w:multiLevelType w:val="hybridMultilevel"/>
    <w:tmpl w:val="BD748A20"/>
    <w:lvl w:ilvl="0" w:tplc="A1A26680">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2135C6"/>
    <w:multiLevelType w:val="hybridMultilevel"/>
    <w:tmpl w:val="76F2AF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980399"/>
    <w:multiLevelType w:val="hybridMultilevel"/>
    <w:tmpl w:val="47060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8B13FC"/>
    <w:multiLevelType w:val="hybridMultilevel"/>
    <w:tmpl w:val="37AC46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415F16"/>
    <w:multiLevelType w:val="hybridMultilevel"/>
    <w:tmpl w:val="76F2AF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310A15"/>
    <w:multiLevelType w:val="hybridMultilevel"/>
    <w:tmpl w:val="1966564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5C740924"/>
    <w:multiLevelType w:val="hybridMultilevel"/>
    <w:tmpl w:val="F1B2D0C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EB34B75"/>
    <w:multiLevelType w:val="hybridMultilevel"/>
    <w:tmpl w:val="7D106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15351D"/>
    <w:multiLevelType w:val="hybridMultilevel"/>
    <w:tmpl w:val="D4EAA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9B3D9C"/>
    <w:multiLevelType w:val="hybridMultilevel"/>
    <w:tmpl w:val="58C60B6E"/>
    <w:lvl w:ilvl="0" w:tplc="90CED58E">
      <w:start w:val="1"/>
      <w:numFmt w:val="bullet"/>
      <w:lvlText w:val="-"/>
      <w:lvlJc w:val="left"/>
      <w:pPr>
        <w:ind w:left="1424" w:hanging="360"/>
      </w:pPr>
      <w:rPr>
        <w:rFonts w:ascii="Calibri" w:eastAsiaTheme="minorHAnsi" w:hAnsi="Calibri" w:cs="Arial" w:hint="default"/>
      </w:rPr>
    </w:lvl>
    <w:lvl w:ilvl="1" w:tplc="04090003" w:tentative="1">
      <w:start w:val="1"/>
      <w:numFmt w:val="bullet"/>
      <w:lvlText w:val="o"/>
      <w:lvlJc w:val="left"/>
      <w:pPr>
        <w:ind w:left="2144" w:hanging="360"/>
      </w:pPr>
      <w:rPr>
        <w:rFonts w:ascii="Courier New" w:hAnsi="Courier New" w:cs="Courier New" w:hint="default"/>
      </w:rPr>
    </w:lvl>
    <w:lvl w:ilvl="2" w:tplc="04090005" w:tentative="1">
      <w:start w:val="1"/>
      <w:numFmt w:val="bullet"/>
      <w:lvlText w:val=""/>
      <w:lvlJc w:val="left"/>
      <w:pPr>
        <w:ind w:left="2864" w:hanging="360"/>
      </w:pPr>
      <w:rPr>
        <w:rFonts w:ascii="Wingdings" w:hAnsi="Wingdings" w:hint="default"/>
      </w:rPr>
    </w:lvl>
    <w:lvl w:ilvl="3" w:tplc="04090001" w:tentative="1">
      <w:start w:val="1"/>
      <w:numFmt w:val="bullet"/>
      <w:lvlText w:val=""/>
      <w:lvlJc w:val="left"/>
      <w:pPr>
        <w:ind w:left="3584" w:hanging="360"/>
      </w:pPr>
      <w:rPr>
        <w:rFonts w:ascii="Symbol" w:hAnsi="Symbol" w:hint="default"/>
      </w:rPr>
    </w:lvl>
    <w:lvl w:ilvl="4" w:tplc="04090003" w:tentative="1">
      <w:start w:val="1"/>
      <w:numFmt w:val="bullet"/>
      <w:lvlText w:val="o"/>
      <w:lvlJc w:val="left"/>
      <w:pPr>
        <w:ind w:left="4304" w:hanging="360"/>
      </w:pPr>
      <w:rPr>
        <w:rFonts w:ascii="Courier New" w:hAnsi="Courier New" w:cs="Courier New" w:hint="default"/>
      </w:rPr>
    </w:lvl>
    <w:lvl w:ilvl="5" w:tplc="04090005" w:tentative="1">
      <w:start w:val="1"/>
      <w:numFmt w:val="bullet"/>
      <w:lvlText w:val=""/>
      <w:lvlJc w:val="left"/>
      <w:pPr>
        <w:ind w:left="5024" w:hanging="360"/>
      </w:pPr>
      <w:rPr>
        <w:rFonts w:ascii="Wingdings" w:hAnsi="Wingdings" w:hint="default"/>
      </w:rPr>
    </w:lvl>
    <w:lvl w:ilvl="6" w:tplc="04090001" w:tentative="1">
      <w:start w:val="1"/>
      <w:numFmt w:val="bullet"/>
      <w:lvlText w:val=""/>
      <w:lvlJc w:val="left"/>
      <w:pPr>
        <w:ind w:left="5744" w:hanging="360"/>
      </w:pPr>
      <w:rPr>
        <w:rFonts w:ascii="Symbol" w:hAnsi="Symbol" w:hint="default"/>
      </w:rPr>
    </w:lvl>
    <w:lvl w:ilvl="7" w:tplc="04090003" w:tentative="1">
      <w:start w:val="1"/>
      <w:numFmt w:val="bullet"/>
      <w:lvlText w:val="o"/>
      <w:lvlJc w:val="left"/>
      <w:pPr>
        <w:ind w:left="6464" w:hanging="360"/>
      </w:pPr>
      <w:rPr>
        <w:rFonts w:ascii="Courier New" w:hAnsi="Courier New" w:cs="Courier New" w:hint="default"/>
      </w:rPr>
    </w:lvl>
    <w:lvl w:ilvl="8" w:tplc="04090005" w:tentative="1">
      <w:start w:val="1"/>
      <w:numFmt w:val="bullet"/>
      <w:lvlText w:val=""/>
      <w:lvlJc w:val="left"/>
      <w:pPr>
        <w:ind w:left="7184" w:hanging="360"/>
      </w:pPr>
      <w:rPr>
        <w:rFonts w:ascii="Wingdings" w:hAnsi="Wingdings" w:hint="default"/>
      </w:rPr>
    </w:lvl>
  </w:abstractNum>
  <w:abstractNum w:abstractNumId="29" w15:restartNumberingAfterBreak="0">
    <w:nsid w:val="689F7369"/>
    <w:multiLevelType w:val="hybridMultilevel"/>
    <w:tmpl w:val="9D6253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A587032"/>
    <w:multiLevelType w:val="hybridMultilevel"/>
    <w:tmpl w:val="F3C209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A39AEC"/>
    <w:multiLevelType w:val="hybridMultilevel"/>
    <w:tmpl w:val="8307D81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6DA353FC"/>
    <w:multiLevelType w:val="hybridMultilevel"/>
    <w:tmpl w:val="27903C3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895602"/>
    <w:multiLevelType w:val="hybridMultilevel"/>
    <w:tmpl w:val="8370EB5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E81E56"/>
    <w:multiLevelType w:val="hybridMultilevel"/>
    <w:tmpl w:val="ECC4BB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35" w15:restartNumberingAfterBreak="0">
    <w:nsid w:val="7BB51DC1"/>
    <w:multiLevelType w:val="hybridMultilevel"/>
    <w:tmpl w:val="81BA1C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FF7C81"/>
    <w:multiLevelType w:val="hybridMultilevel"/>
    <w:tmpl w:val="5E14964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24"/>
  </w:num>
  <w:num w:numId="2">
    <w:abstractNumId w:val="32"/>
  </w:num>
  <w:num w:numId="3">
    <w:abstractNumId w:val="2"/>
  </w:num>
  <w:num w:numId="4">
    <w:abstractNumId w:val="5"/>
  </w:num>
  <w:num w:numId="5">
    <w:abstractNumId w:val="28"/>
  </w:num>
  <w:num w:numId="6">
    <w:abstractNumId w:val="12"/>
  </w:num>
  <w:num w:numId="7">
    <w:abstractNumId w:val="34"/>
  </w:num>
  <w:num w:numId="8">
    <w:abstractNumId w:val="36"/>
  </w:num>
  <w:num w:numId="9">
    <w:abstractNumId w:val="6"/>
  </w:num>
  <w:num w:numId="10">
    <w:abstractNumId w:val="4"/>
  </w:num>
  <w:num w:numId="11">
    <w:abstractNumId w:val="1"/>
  </w:num>
  <w:num w:numId="12">
    <w:abstractNumId w:val="0"/>
  </w:num>
  <w:num w:numId="13">
    <w:abstractNumId w:val="31"/>
  </w:num>
  <w:num w:numId="14">
    <w:abstractNumId w:val="18"/>
  </w:num>
  <w:num w:numId="15">
    <w:abstractNumId w:val="35"/>
  </w:num>
  <w:num w:numId="16">
    <w:abstractNumId w:val="15"/>
  </w:num>
  <w:num w:numId="17">
    <w:abstractNumId w:val="30"/>
  </w:num>
  <w:num w:numId="18">
    <w:abstractNumId w:val="23"/>
  </w:num>
  <w:num w:numId="19">
    <w:abstractNumId w:val="20"/>
  </w:num>
  <w:num w:numId="20">
    <w:abstractNumId w:val="21"/>
  </w:num>
  <w:num w:numId="21">
    <w:abstractNumId w:val="7"/>
  </w:num>
  <w:num w:numId="22">
    <w:abstractNumId w:val="26"/>
  </w:num>
  <w:num w:numId="23">
    <w:abstractNumId w:val="14"/>
  </w:num>
  <w:num w:numId="24">
    <w:abstractNumId w:val="10"/>
  </w:num>
  <w:num w:numId="25">
    <w:abstractNumId w:val="19"/>
  </w:num>
  <w:num w:numId="26">
    <w:abstractNumId w:val="22"/>
  </w:num>
  <w:num w:numId="27">
    <w:abstractNumId w:val="17"/>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29"/>
  </w:num>
  <w:num w:numId="31">
    <w:abstractNumId w:val="27"/>
  </w:num>
  <w:num w:numId="32">
    <w:abstractNumId w:val="11"/>
  </w:num>
  <w:num w:numId="33">
    <w:abstractNumId w:val="25"/>
  </w:num>
  <w:num w:numId="34">
    <w:abstractNumId w:val="3"/>
  </w:num>
  <w:num w:numId="35">
    <w:abstractNumId w:val="13"/>
  </w:num>
  <w:num w:numId="36">
    <w:abstractNumId w:val="16"/>
  </w:num>
  <w:num w:numId="37">
    <w:abstractNumId w:val="9"/>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77A"/>
    <w:rsid w:val="000154F2"/>
    <w:rsid w:val="00032E2B"/>
    <w:rsid w:val="00065139"/>
    <w:rsid w:val="00076F46"/>
    <w:rsid w:val="00080382"/>
    <w:rsid w:val="00094066"/>
    <w:rsid w:val="000A626E"/>
    <w:rsid w:val="000B7DD1"/>
    <w:rsid w:val="000C6AC3"/>
    <w:rsid w:val="000D673E"/>
    <w:rsid w:val="000F4A3D"/>
    <w:rsid w:val="00107073"/>
    <w:rsid w:val="00113534"/>
    <w:rsid w:val="00120B4C"/>
    <w:rsid w:val="00143797"/>
    <w:rsid w:val="00162552"/>
    <w:rsid w:val="00165B58"/>
    <w:rsid w:val="00166419"/>
    <w:rsid w:val="00167FC4"/>
    <w:rsid w:val="00177CA6"/>
    <w:rsid w:val="00185FAC"/>
    <w:rsid w:val="001B45AF"/>
    <w:rsid w:val="001C2971"/>
    <w:rsid w:val="001D3210"/>
    <w:rsid w:val="001D5000"/>
    <w:rsid w:val="001F2B63"/>
    <w:rsid w:val="0020119C"/>
    <w:rsid w:val="00206D79"/>
    <w:rsid w:val="00212A33"/>
    <w:rsid w:val="002545E9"/>
    <w:rsid w:val="002765CD"/>
    <w:rsid w:val="002851BF"/>
    <w:rsid w:val="002927B0"/>
    <w:rsid w:val="002A4EE8"/>
    <w:rsid w:val="002A5FD3"/>
    <w:rsid w:val="002B201F"/>
    <w:rsid w:val="002B364B"/>
    <w:rsid w:val="002E5A8B"/>
    <w:rsid w:val="002F5A74"/>
    <w:rsid w:val="00307C4F"/>
    <w:rsid w:val="00322A41"/>
    <w:rsid w:val="00341705"/>
    <w:rsid w:val="00341E0E"/>
    <w:rsid w:val="00346599"/>
    <w:rsid w:val="00357430"/>
    <w:rsid w:val="0036143C"/>
    <w:rsid w:val="003672D9"/>
    <w:rsid w:val="0037082E"/>
    <w:rsid w:val="003753B9"/>
    <w:rsid w:val="00397C86"/>
    <w:rsid w:val="00397FDC"/>
    <w:rsid w:val="003F68CB"/>
    <w:rsid w:val="00423BB3"/>
    <w:rsid w:val="0043291D"/>
    <w:rsid w:val="0047128B"/>
    <w:rsid w:val="00494805"/>
    <w:rsid w:val="00494BE0"/>
    <w:rsid w:val="004A27B1"/>
    <w:rsid w:val="004B44DB"/>
    <w:rsid w:val="004C79EE"/>
    <w:rsid w:val="004E243D"/>
    <w:rsid w:val="004E2F91"/>
    <w:rsid w:val="005131EC"/>
    <w:rsid w:val="00533C2B"/>
    <w:rsid w:val="00557906"/>
    <w:rsid w:val="005A0466"/>
    <w:rsid w:val="005B3994"/>
    <w:rsid w:val="005C455D"/>
    <w:rsid w:val="005C6845"/>
    <w:rsid w:val="005D1A3D"/>
    <w:rsid w:val="005E364E"/>
    <w:rsid w:val="005E4FE0"/>
    <w:rsid w:val="005E7D9B"/>
    <w:rsid w:val="0061147E"/>
    <w:rsid w:val="00614F09"/>
    <w:rsid w:val="006329A3"/>
    <w:rsid w:val="00633177"/>
    <w:rsid w:val="006448E8"/>
    <w:rsid w:val="00650238"/>
    <w:rsid w:val="00680450"/>
    <w:rsid w:val="006905A5"/>
    <w:rsid w:val="006A20C9"/>
    <w:rsid w:val="006A3730"/>
    <w:rsid w:val="006A44F1"/>
    <w:rsid w:val="006A6FA4"/>
    <w:rsid w:val="006B77E5"/>
    <w:rsid w:val="006E0DE6"/>
    <w:rsid w:val="006F1B33"/>
    <w:rsid w:val="006F2E99"/>
    <w:rsid w:val="006F3FA4"/>
    <w:rsid w:val="00706DD3"/>
    <w:rsid w:val="00714031"/>
    <w:rsid w:val="007149DA"/>
    <w:rsid w:val="007168DA"/>
    <w:rsid w:val="00720424"/>
    <w:rsid w:val="007243F2"/>
    <w:rsid w:val="0073515B"/>
    <w:rsid w:val="00735CE3"/>
    <w:rsid w:val="007534CE"/>
    <w:rsid w:val="007550F5"/>
    <w:rsid w:val="007822A4"/>
    <w:rsid w:val="007A5552"/>
    <w:rsid w:val="007B6172"/>
    <w:rsid w:val="007C2191"/>
    <w:rsid w:val="007F57E7"/>
    <w:rsid w:val="00816872"/>
    <w:rsid w:val="00827C42"/>
    <w:rsid w:val="00832B28"/>
    <w:rsid w:val="0084114B"/>
    <w:rsid w:val="00851153"/>
    <w:rsid w:val="00860A56"/>
    <w:rsid w:val="00870C36"/>
    <w:rsid w:val="00880B16"/>
    <w:rsid w:val="00887438"/>
    <w:rsid w:val="0089077A"/>
    <w:rsid w:val="008933A8"/>
    <w:rsid w:val="008965B7"/>
    <w:rsid w:val="008968DC"/>
    <w:rsid w:val="00897736"/>
    <w:rsid w:val="008A614E"/>
    <w:rsid w:val="008A66B7"/>
    <w:rsid w:val="008B18BB"/>
    <w:rsid w:val="008D294F"/>
    <w:rsid w:val="008D78EF"/>
    <w:rsid w:val="008F00FB"/>
    <w:rsid w:val="008F2E69"/>
    <w:rsid w:val="009028C1"/>
    <w:rsid w:val="0091377C"/>
    <w:rsid w:val="00920D74"/>
    <w:rsid w:val="009215DF"/>
    <w:rsid w:val="00951C48"/>
    <w:rsid w:val="009523EB"/>
    <w:rsid w:val="00971BCD"/>
    <w:rsid w:val="00972806"/>
    <w:rsid w:val="00972DBA"/>
    <w:rsid w:val="00974CF6"/>
    <w:rsid w:val="00976AB7"/>
    <w:rsid w:val="009913EB"/>
    <w:rsid w:val="009A430C"/>
    <w:rsid w:val="009A7FFB"/>
    <w:rsid w:val="009B13B7"/>
    <w:rsid w:val="009D2ADA"/>
    <w:rsid w:val="009E0F2A"/>
    <w:rsid w:val="009E6454"/>
    <w:rsid w:val="00A01BAF"/>
    <w:rsid w:val="00A34FDC"/>
    <w:rsid w:val="00A66CAA"/>
    <w:rsid w:val="00A711BC"/>
    <w:rsid w:val="00A74EE7"/>
    <w:rsid w:val="00A95365"/>
    <w:rsid w:val="00A97D5B"/>
    <w:rsid w:val="00AE2867"/>
    <w:rsid w:val="00B006AE"/>
    <w:rsid w:val="00B07DC1"/>
    <w:rsid w:val="00B146CF"/>
    <w:rsid w:val="00B14FAB"/>
    <w:rsid w:val="00B21A9C"/>
    <w:rsid w:val="00B30FF9"/>
    <w:rsid w:val="00B61D62"/>
    <w:rsid w:val="00B713B2"/>
    <w:rsid w:val="00B81085"/>
    <w:rsid w:val="00B95EF2"/>
    <w:rsid w:val="00B97190"/>
    <w:rsid w:val="00BA23AF"/>
    <w:rsid w:val="00BA6572"/>
    <w:rsid w:val="00BB1360"/>
    <w:rsid w:val="00BB1714"/>
    <w:rsid w:val="00BD3D65"/>
    <w:rsid w:val="00BD59CF"/>
    <w:rsid w:val="00BE01FC"/>
    <w:rsid w:val="00BE2C73"/>
    <w:rsid w:val="00BE61F6"/>
    <w:rsid w:val="00C0090F"/>
    <w:rsid w:val="00C022E6"/>
    <w:rsid w:val="00C1635A"/>
    <w:rsid w:val="00C20FCC"/>
    <w:rsid w:val="00C24C37"/>
    <w:rsid w:val="00C432B5"/>
    <w:rsid w:val="00C447D1"/>
    <w:rsid w:val="00C72B07"/>
    <w:rsid w:val="00C73D94"/>
    <w:rsid w:val="00C811B9"/>
    <w:rsid w:val="00C87CDB"/>
    <w:rsid w:val="00C916DF"/>
    <w:rsid w:val="00C94A60"/>
    <w:rsid w:val="00CA34D9"/>
    <w:rsid w:val="00CB5AC9"/>
    <w:rsid w:val="00CC1EF2"/>
    <w:rsid w:val="00CD732E"/>
    <w:rsid w:val="00CE16D9"/>
    <w:rsid w:val="00CF5570"/>
    <w:rsid w:val="00D062FB"/>
    <w:rsid w:val="00D25501"/>
    <w:rsid w:val="00D25B82"/>
    <w:rsid w:val="00D35DC4"/>
    <w:rsid w:val="00D41200"/>
    <w:rsid w:val="00D51F5F"/>
    <w:rsid w:val="00D53C79"/>
    <w:rsid w:val="00D57F68"/>
    <w:rsid w:val="00D76360"/>
    <w:rsid w:val="00D9325C"/>
    <w:rsid w:val="00DA6554"/>
    <w:rsid w:val="00DD370B"/>
    <w:rsid w:val="00DE0423"/>
    <w:rsid w:val="00E00D7F"/>
    <w:rsid w:val="00E52B33"/>
    <w:rsid w:val="00E5469F"/>
    <w:rsid w:val="00E715EE"/>
    <w:rsid w:val="00E911D4"/>
    <w:rsid w:val="00E92F01"/>
    <w:rsid w:val="00E95F7A"/>
    <w:rsid w:val="00E9752E"/>
    <w:rsid w:val="00EA1261"/>
    <w:rsid w:val="00EA68C8"/>
    <w:rsid w:val="00ED3AA1"/>
    <w:rsid w:val="00F048DF"/>
    <w:rsid w:val="00F16D51"/>
    <w:rsid w:val="00F31A49"/>
    <w:rsid w:val="00F6046D"/>
    <w:rsid w:val="00F641ED"/>
    <w:rsid w:val="00F649DC"/>
    <w:rsid w:val="00F91623"/>
    <w:rsid w:val="00F975FC"/>
    <w:rsid w:val="00FA39B9"/>
    <w:rsid w:val="00FB6CDE"/>
    <w:rsid w:val="00FC018B"/>
    <w:rsid w:val="00FC5EE7"/>
    <w:rsid w:val="00FC7CFA"/>
    <w:rsid w:val="00FD75F3"/>
    <w:rsid w:val="00FF6B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32968"/>
  <w15:chartTrackingRefBased/>
  <w15:docId w15:val="{2C58B207-1E16-43B4-90F3-67D837A6E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149D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397C8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1B45A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2B201F"/>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680450"/>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9077A"/>
    <w:pPr>
      <w:autoSpaceDE w:val="0"/>
      <w:autoSpaceDN w:val="0"/>
      <w:adjustRightInd w:val="0"/>
      <w:spacing w:after="0" w:line="240" w:lineRule="auto"/>
    </w:pPr>
    <w:rPr>
      <w:rFonts w:ascii="Arial" w:hAnsi="Arial" w:cs="Arial"/>
      <w:color w:val="000000"/>
      <w:sz w:val="24"/>
      <w:szCs w:val="24"/>
    </w:rPr>
  </w:style>
  <w:style w:type="character" w:customStyle="1" w:styleId="Heading1Char">
    <w:name w:val="Heading 1 Char"/>
    <w:basedOn w:val="DefaultParagraphFont"/>
    <w:link w:val="Heading1"/>
    <w:uiPriority w:val="9"/>
    <w:rsid w:val="007149DA"/>
    <w:rPr>
      <w:rFonts w:asciiTheme="majorHAnsi" w:eastAsiaTheme="majorEastAsia" w:hAnsiTheme="majorHAnsi" w:cstheme="majorBidi"/>
      <w:color w:val="365F91" w:themeColor="accent1" w:themeShade="BF"/>
      <w:sz w:val="32"/>
      <w:szCs w:val="32"/>
    </w:rPr>
  </w:style>
  <w:style w:type="paragraph" w:styleId="NormalWeb">
    <w:name w:val="Normal (Web)"/>
    <w:basedOn w:val="Normal"/>
    <w:uiPriority w:val="99"/>
    <w:semiHidden/>
    <w:unhideWhenUsed/>
    <w:rsid w:val="00162552"/>
    <w:pPr>
      <w:spacing w:before="100" w:beforeAutospacing="1" w:after="100" w:afterAutospacing="1" w:line="240" w:lineRule="auto"/>
    </w:pPr>
    <w:rPr>
      <w:rFonts w:ascii="Times New Roman" w:hAnsi="Times New Roman" w:cs="Times New Roman"/>
      <w:sz w:val="24"/>
      <w:szCs w:val="24"/>
    </w:rPr>
  </w:style>
  <w:style w:type="paragraph" w:styleId="ListParagraph">
    <w:name w:val="List Paragraph"/>
    <w:basedOn w:val="Normal"/>
    <w:uiPriority w:val="34"/>
    <w:qFormat/>
    <w:rsid w:val="00827C42"/>
    <w:pPr>
      <w:ind w:left="720"/>
      <w:contextualSpacing/>
    </w:pPr>
  </w:style>
  <w:style w:type="paragraph" w:styleId="FootnoteText">
    <w:name w:val="footnote text"/>
    <w:basedOn w:val="Normal"/>
    <w:link w:val="FootnoteTextChar"/>
    <w:uiPriority w:val="99"/>
    <w:unhideWhenUsed/>
    <w:rsid w:val="00F91623"/>
    <w:pPr>
      <w:spacing w:after="0" w:line="240" w:lineRule="auto"/>
    </w:pPr>
    <w:rPr>
      <w:sz w:val="20"/>
      <w:szCs w:val="20"/>
    </w:rPr>
  </w:style>
  <w:style w:type="character" w:customStyle="1" w:styleId="FootnoteTextChar">
    <w:name w:val="Footnote Text Char"/>
    <w:basedOn w:val="DefaultParagraphFont"/>
    <w:link w:val="FootnoteText"/>
    <w:uiPriority w:val="99"/>
    <w:rsid w:val="00F91623"/>
    <w:rPr>
      <w:sz w:val="20"/>
      <w:szCs w:val="20"/>
    </w:rPr>
  </w:style>
  <w:style w:type="character" w:styleId="FootnoteReference">
    <w:name w:val="footnote reference"/>
    <w:basedOn w:val="DefaultParagraphFont"/>
    <w:uiPriority w:val="99"/>
    <w:semiHidden/>
    <w:unhideWhenUsed/>
    <w:rsid w:val="00F91623"/>
    <w:rPr>
      <w:vertAlign w:val="superscript"/>
    </w:rPr>
  </w:style>
  <w:style w:type="character" w:customStyle="1" w:styleId="Heading2Char">
    <w:name w:val="Heading 2 Char"/>
    <w:basedOn w:val="DefaultParagraphFont"/>
    <w:link w:val="Heading2"/>
    <w:uiPriority w:val="9"/>
    <w:rsid w:val="00397C86"/>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1B45AF"/>
    <w:rPr>
      <w:rFonts w:asciiTheme="majorHAnsi" w:eastAsiaTheme="majorEastAsia" w:hAnsiTheme="majorHAnsi" w:cstheme="majorBidi"/>
      <w:color w:val="243F60" w:themeColor="accent1" w:themeShade="7F"/>
      <w:sz w:val="24"/>
      <w:szCs w:val="24"/>
    </w:rPr>
  </w:style>
  <w:style w:type="paragraph" w:customStyle="1" w:styleId="CM63">
    <w:name w:val="CM63"/>
    <w:basedOn w:val="Default"/>
    <w:next w:val="Default"/>
    <w:uiPriority w:val="99"/>
    <w:rsid w:val="002927B0"/>
    <w:rPr>
      <w:rFonts w:ascii="JDAON I+ Frutiger LT Std" w:hAnsi="JDAON I+ Frutiger LT Std" w:cstheme="minorBidi"/>
      <w:color w:val="auto"/>
    </w:rPr>
  </w:style>
  <w:style w:type="character" w:customStyle="1" w:styleId="Heading4Char">
    <w:name w:val="Heading 4 Char"/>
    <w:basedOn w:val="DefaultParagraphFont"/>
    <w:link w:val="Heading4"/>
    <w:uiPriority w:val="9"/>
    <w:rsid w:val="002B201F"/>
    <w:rPr>
      <w:rFonts w:asciiTheme="majorHAnsi" w:eastAsiaTheme="majorEastAsia" w:hAnsiTheme="majorHAnsi" w:cstheme="majorBidi"/>
      <w:i/>
      <w:iCs/>
      <w:color w:val="365F91" w:themeColor="accent1" w:themeShade="BF"/>
    </w:rPr>
  </w:style>
  <w:style w:type="character" w:styleId="Hyperlink">
    <w:name w:val="Hyperlink"/>
    <w:basedOn w:val="DefaultParagraphFont"/>
    <w:uiPriority w:val="99"/>
    <w:unhideWhenUsed/>
    <w:rsid w:val="00D51F5F"/>
    <w:rPr>
      <w:color w:val="0000FF" w:themeColor="hyperlink"/>
      <w:u w:val="single"/>
    </w:rPr>
  </w:style>
  <w:style w:type="paragraph" w:styleId="HTMLPreformatted">
    <w:name w:val="HTML Preformatted"/>
    <w:basedOn w:val="Normal"/>
    <w:link w:val="HTMLPreformattedChar"/>
    <w:uiPriority w:val="99"/>
    <w:semiHidden/>
    <w:unhideWhenUsed/>
    <w:rsid w:val="00974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974CF6"/>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9B13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13B7"/>
    <w:rPr>
      <w:rFonts w:ascii="Segoe UI" w:hAnsi="Segoe UI" w:cs="Segoe UI"/>
      <w:sz w:val="18"/>
      <w:szCs w:val="18"/>
    </w:rPr>
  </w:style>
  <w:style w:type="character" w:customStyle="1" w:styleId="Heading5Char">
    <w:name w:val="Heading 5 Char"/>
    <w:basedOn w:val="DefaultParagraphFont"/>
    <w:link w:val="Heading5"/>
    <w:uiPriority w:val="9"/>
    <w:rsid w:val="00680450"/>
    <w:rPr>
      <w:rFonts w:asciiTheme="majorHAnsi" w:eastAsiaTheme="majorEastAsia" w:hAnsiTheme="majorHAnsi" w:cstheme="majorBidi"/>
      <w:color w:val="365F91" w:themeColor="accent1" w:themeShade="BF"/>
    </w:rPr>
  </w:style>
  <w:style w:type="character" w:styleId="CommentReference">
    <w:name w:val="annotation reference"/>
    <w:basedOn w:val="DefaultParagraphFont"/>
    <w:uiPriority w:val="99"/>
    <w:semiHidden/>
    <w:unhideWhenUsed/>
    <w:rsid w:val="00A01BAF"/>
    <w:rPr>
      <w:sz w:val="16"/>
      <w:szCs w:val="16"/>
    </w:rPr>
  </w:style>
  <w:style w:type="paragraph" w:styleId="CommentText">
    <w:name w:val="annotation text"/>
    <w:basedOn w:val="Normal"/>
    <w:link w:val="CommentTextChar"/>
    <w:uiPriority w:val="99"/>
    <w:semiHidden/>
    <w:unhideWhenUsed/>
    <w:rsid w:val="00A01BAF"/>
    <w:pPr>
      <w:spacing w:line="240" w:lineRule="auto"/>
    </w:pPr>
    <w:rPr>
      <w:sz w:val="20"/>
      <w:szCs w:val="20"/>
    </w:rPr>
  </w:style>
  <w:style w:type="character" w:customStyle="1" w:styleId="CommentTextChar">
    <w:name w:val="Comment Text Char"/>
    <w:basedOn w:val="DefaultParagraphFont"/>
    <w:link w:val="CommentText"/>
    <w:uiPriority w:val="99"/>
    <w:semiHidden/>
    <w:rsid w:val="00A01BAF"/>
    <w:rPr>
      <w:sz w:val="20"/>
      <w:szCs w:val="20"/>
    </w:rPr>
  </w:style>
  <w:style w:type="paragraph" w:styleId="CommentSubject">
    <w:name w:val="annotation subject"/>
    <w:basedOn w:val="CommentText"/>
    <w:next w:val="CommentText"/>
    <w:link w:val="CommentSubjectChar"/>
    <w:uiPriority w:val="99"/>
    <w:semiHidden/>
    <w:unhideWhenUsed/>
    <w:rsid w:val="00A01BAF"/>
    <w:rPr>
      <w:b/>
      <w:bCs/>
    </w:rPr>
  </w:style>
  <w:style w:type="character" w:customStyle="1" w:styleId="CommentSubjectChar">
    <w:name w:val="Comment Subject Char"/>
    <w:basedOn w:val="CommentTextChar"/>
    <w:link w:val="CommentSubject"/>
    <w:uiPriority w:val="99"/>
    <w:semiHidden/>
    <w:rsid w:val="00A01BA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4672588">
      <w:bodyDiv w:val="1"/>
      <w:marLeft w:val="0"/>
      <w:marRight w:val="0"/>
      <w:marTop w:val="0"/>
      <w:marBottom w:val="0"/>
      <w:divBdr>
        <w:top w:val="none" w:sz="0" w:space="0" w:color="auto"/>
        <w:left w:val="none" w:sz="0" w:space="0" w:color="auto"/>
        <w:bottom w:val="none" w:sz="0" w:space="0" w:color="auto"/>
        <w:right w:val="none" w:sz="0" w:space="0" w:color="auto"/>
      </w:divBdr>
    </w:div>
    <w:div w:id="1558781175">
      <w:bodyDiv w:val="1"/>
      <w:marLeft w:val="0"/>
      <w:marRight w:val="0"/>
      <w:marTop w:val="0"/>
      <w:marBottom w:val="0"/>
      <w:divBdr>
        <w:top w:val="none" w:sz="0" w:space="0" w:color="auto"/>
        <w:left w:val="none" w:sz="0" w:space="0" w:color="auto"/>
        <w:bottom w:val="none" w:sz="0" w:space="0" w:color="auto"/>
        <w:right w:val="none" w:sz="0" w:space="0" w:color="auto"/>
      </w:divBdr>
    </w:div>
    <w:div w:id="1998531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www.epa.gov/eeactionplanm"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Book2"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US"/>
              <a:t>2013 Adopted EE Program Budgets (millions)</a:t>
            </a:r>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en-US"/>
        </a:p>
      </c:txPr>
    </c:title>
    <c:autoTitleDeleted val="0"/>
    <c:plotArea>
      <c:layout>
        <c:manualLayout>
          <c:layoutTarget val="inner"/>
          <c:xMode val="edge"/>
          <c:yMode val="edge"/>
          <c:x val="8.607174103237096E-2"/>
          <c:y val="0.29653944298629337"/>
          <c:w val="0.85799671916010489"/>
          <c:h val="0.47636956838728495"/>
        </c:manualLayout>
      </c:layout>
      <c:lineChart>
        <c:grouping val="standard"/>
        <c:varyColors val="0"/>
        <c:ser>
          <c:idx val="0"/>
          <c:order val="0"/>
          <c:tx>
            <c:strRef>
              <c:f>[Book2]Sheet1!$H$8</c:f>
              <c:strCache>
                <c:ptCount val="1"/>
                <c:pt idx="0">
                  <c:v>2013 Adopted Program Budget</c:v>
                </c:pt>
              </c:strCache>
            </c:strRef>
          </c:tx>
          <c:spPr>
            <a:ln w="31750" cap="rnd">
              <a:solidFill>
                <a:schemeClr val="accent1"/>
              </a:solidFill>
              <a:round/>
            </a:ln>
            <a:effectLst/>
          </c:spPr>
          <c:marker>
            <c:symbol val="circle"/>
            <c:size val="17"/>
            <c:spPr>
              <a:solidFill>
                <a:schemeClr val="accen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[Book2]Sheet1!$G$15:$G$18</c:f>
              <c:strCache>
                <c:ptCount val="4"/>
                <c:pt idx="0">
                  <c:v>2014</c:v>
                </c:pt>
                <c:pt idx="1">
                  <c:v>2015</c:v>
                </c:pt>
                <c:pt idx="2">
                  <c:v>2016*</c:v>
                </c:pt>
                <c:pt idx="3">
                  <c:v>2017*</c:v>
                </c:pt>
              </c:strCache>
            </c:strRef>
          </c:cat>
          <c:val>
            <c:numRef>
              <c:f>[Book2]Sheet1!$H$15:$H$18</c:f>
              <c:numCache>
                <c:formatCode>0</c:formatCode>
                <c:ptCount val="4"/>
                <c:pt idx="0">
                  <c:v>352.65831900000001</c:v>
                </c:pt>
                <c:pt idx="1">
                  <c:v>333.32</c:v>
                </c:pt>
                <c:pt idx="2">
                  <c:v>330</c:v>
                </c:pt>
                <c:pt idx="3">
                  <c:v>278</c:v>
                </c:pt>
              </c:numCache>
            </c:numRef>
          </c:val>
          <c:smooth val="0"/>
        </c:ser>
        <c:dLbls>
          <c:dLblPos val="ctr"/>
          <c:showLegendKey val="0"/>
          <c:showVal val="1"/>
          <c:showCatName val="0"/>
          <c:showSerName val="0"/>
          <c:showPercent val="0"/>
          <c:showBubbleSize val="0"/>
        </c:dLbls>
        <c:marker val="1"/>
        <c:smooth val="0"/>
        <c:axId val="490462232"/>
        <c:axId val="490462624"/>
      </c:lineChart>
      <c:catAx>
        <c:axId val="490462232"/>
        <c:scaling>
          <c:orientation val="minMax"/>
        </c:scaling>
        <c:delete val="0"/>
        <c:axPos val="b"/>
        <c:numFmt formatCode="General" sourceLinked="0"/>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en-US"/>
          </a:p>
        </c:txPr>
        <c:crossAx val="490462624"/>
        <c:crosses val="autoZero"/>
        <c:auto val="1"/>
        <c:lblAlgn val="ctr"/>
        <c:lblOffset val="100"/>
        <c:noMultiLvlLbl val="0"/>
      </c:catAx>
      <c:valAx>
        <c:axId val="490462624"/>
        <c:scaling>
          <c:orientation val="minMax"/>
          <c:min val="200"/>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0" sourceLinked="1"/>
        <c:majorTickMark val="none"/>
        <c:minorTickMark val="none"/>
        <c:tickLblPos val="nextTo"/>
        <c:crossAx val="490462232"/>
        <c:crosses val="autoZero"/>
        <c:crossBetween val="between"/>
      </c:valAx>
      <c:spPr>
        <a:noFill/>
        <a:ln>
          <a:noFill/>
        </a:ln>
        <a:effectLst/>
      </c:spPr>
    </c:plotArea>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styleClr val="auto"/>
    </cs:fillRef>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17"/>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drawings/drawing1.xml><?xml version="1.0" encoding="utf-8"?>
<c:userShapes xmlns:c="http://schemas.openxmlformats.org/drawingml/2006/chart">
  <cdr:relSizeAnchor xmlns:cdr="http://schemas.openxmlformats.org/drawingml/2006/chartDrawing">
    <cdr:from>
      <cdr:x>0.025</cdr:x>
      <cdr:y>0.86111</cdr:y>
    </cdr:from>
    <cdr:to>
      <cdr:x>0.60333</cdr:x>
      <cdr:y>1</cdr:y>
    </cdr:to>
    <cdr:sp macro="" textlink="">
      <cdr:nvSpPr>
        <cdr:cNvPr id="2" name="TextBox 1"/>
        <cdr:cNvSpPr txBox="1"/>
      </cdr:nvSpPr>
      <cdr:spPr>
        <a:xfrm xmlns:a="http://schemas.openxmlformats.org/drawingml/2006/main">
          <a:off x="114300" y="2362200"/>
          <a:ext cx="2644140" cy="3810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500"/>
            <a:t>Annual Reports - http://eestats.cpuc.ca.gov/Views/Documents.aspx</a:t>
          </a:r>
        </a:p>
        <a:p xmlns:a="http://schemas.openxmlformats.org/drawingml/2006/main">
          <a:r>
            <a:rPr lang="en-US" sz="500"/>
            <a:t>Includes</a:t>
          </a:r>
          <a:r>
            <a:rPr lang="en-US" sz="500" baseline="0"/>
            <a:t>  EM&amp;V</a:t>
          </a:r>
          <a:endParaRPr lang="en-US" sz="500"/>
        </a:p>
        <a:p xmlns:a="http://schemas.openxmlformats.org/drawingml/2006/main">
          <a:r>
            <a:rPr lang="en-US" sz="500"/>
            <a:t>* Estimated</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F8824-AB50-458F-858D-97E60E176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12</Pages>
  <Words>4381</Words>
  <Characters>24977</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Phillip Toth</dc:creator>
  <cp:keywords/>
  <dc:description/>
  <cp:lastModifiedBy>Phillip Toth</cp:lastModifiedBy>
  <cp:revision>3</cp:revision>
  <cp:lastPrinted>2017-01-06T20:02:00Z</cp:lastPrinted>
  <dcterms:created xsi:type="dcterms:W3CDTF">2017-01-09T19:23:00Z</dcterms:created>
  <dcterms:modified xsi:type="dcterms:W3CDTF">2017-01-09T19:37:00Z</dcterms:modified>
</cp:coreProperties>
</file>